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F45" w:rsidRPr="00021616" w:rsidRDefault="002E6F45" w:rsidP="002E6F45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021616">
        <w:rPr>
          <w:rFonts w:ascii="Times New Roman" w:hAnsi="Times New Roman" w:cs="Times New Roman"/>
          <w:b/>
          <w:sz w:val="24"/>
          <w:szCs w:val="24"/>
          <w:lang w:val="en-US"/>
        </w:rPr>
        <w:t>Materials</w:t>
      </w:r>
    </w:p>
    <w:p w:rsidR="002E6F45" w:rsidRDefault="002E6F45" w:rsidP="002E6F4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21616">
        <w:rPr>
          <w:rFonts w:ascii="Times New Roman" w:hAnsi="Times New Roman" w:cs="Times New Roman"/>
          <w:sz w:val="24"/>
          <w:szCs w:val="24"/>
          <w:lang w:val="en-US"/>
        </w:rPr>
        <w:t>All solvents and reagents used in the study were of analytical or HPLC grade quality. Acetonitrile (ACN), methanol (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MeOH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>), chloroform (CHCl</w:t>
      </w:r>
      <w:r w:rsidRPr="001103D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), isopropanol (IPA) were purchased from Carlo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Erba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Reactifs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(SDS,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Peypin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, France). Acetic acid, ammonia, and ammonium acetate were sourced from Sigma-Aldrich (Saint Quentin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Fallavier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>, France). Water was deionized and purified using an ultra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pure water system (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Milli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>-Q</w:t>
      </w:r>
      <w:r w:rsidRPr="0009083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sym w:font="Symbol" w:char="F0D2"/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, Millipore Corporation, Billerica, Massachusetts, USA). MSCAL6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ProteoMass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LTQ/FT-Hybrid</w:t>
      </w:r>
      <w:r w:rsidRPr="0009083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sym w:font="Symbol" w:char="F0D2"/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, standard mixtures used for calibration of the MS instrument (positive and negative ionization mode) were obtained from Sigma-Aldrich (Saint Quentin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Fallavier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, France). Internal lipid standards covering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glycerophospholipids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[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LysoPC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>, phosphatidylcholine (PC) 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phosphatidylethanolamine (PE)],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glycerolipid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triglyceride, 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TG), sphingolipid 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ceramide,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Cer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) and fatty acids (FA) categories were purchased from Avanti Polar Lipids (Alabaster, Alabama, USA); namely,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Lyso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PC (15:0), PC (15:0/15:0), PE (17:0/17:0), TG (17:0/17:0/17:0),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Cer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(d18:1/17:0), FA C15:0 and C23:0 and prepared according to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Gallart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>-Ayala et al.</w:t>
      </w:r>
      <w:r w:rsidR="006716F4">
        <w:rPr>
          <w:rFonts w:ascii="Times New Roman" w:hAnsi="Times New Roman" w:cs="Times New Roman"/>
          <w:sz w:val="24"/>
          <w:szCs w:val="24"/>
          <w:lang w:val="en-US"/>
        </w:rPr>
        <w:t>(1)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45325" w:rsidRPr="00D45325" w:rsidRDefault="00D45325" w:rsidP="002E6F45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5325">
        <w:rPr>
          <w:rFonts w:ascii="Times New Roman" w:hAnsi="Times New Roman" w:cs="Times New Roman"/>
          <w:b/>
          <w:sz w:val="24"/>
          <w:szCs w:val="24"/>
          <w:lang w:val="en-US"/>
        </w:rPr>
        <w:t xml:space="preserve">Weight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and </w:t>
      </w:r>
      <w:r w:rsidRPr="00D45325">
        <w:rPr>
          <w:rFonts w:ascii="Times New Roman" w:hAnsi="Times New Roman" w:cs="Times New Roman"/>
          <w:b/>
          <w:sz w:val="24"/>
          <w:szCs w:val="24"/>
          <w:lang w:val="en-US"/>
        </w:rPr>
        <w:t>head circumference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45325">
        <w:rPr>
          <w:rFonts w:ascii="Times New Roman" w:hAnsi="Times New Roman" w:cs="Times New Roman"/>
          <w:b/>
          <w:sz w:val="24"/>
          <w:szCs w:val="24"/>
          <w:lang w:val="en-US"/>
        </w:rPr>
        <w:t>Z-score determination</w:t>
      </w:r>
    </w:p>
    <w:p w:rsidR="002E6F45" w:rsidRPr="007B6AF8" w:rsidRDefault="002E6F45" w:rsidP="002E6F4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To assess growth,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body 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weight measurements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were 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performed weekly from birth to discharge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using </w:t>
      </w:r>
      <w:r w:rsidRPr="0008585D">
        <w:rPr>
          <w:rFonts w:ascii="Times New Roman" w:hAnsi="Times New Roman" w:cs="Times New Roman"/>
          <w:sz w:val="24"/>
          <w:szCs w:val="24"/>
          <w:lang w:val="en-US"/>
        </w:rPr>
        <w:t>an electronic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8585D">
        <w:rPr>
          <w:rFonts w:ascii="Times New Roman" w:hAnsi="Times New Roman" w:cs="Times New Roman"/>
          <w:sz w:val="24"/>
          <w:szCs w:val="24"/>
          <w:lang w:val="en-US"/>
        </w:rPr>
        <w:t>scale accurate to the nearest 0·1 g</w:t>
      </w:r>
      <w:r>
        <w:rPr>
          <w:rFonts w:ascii="Times New Roman" w:hAnsi="Times New Roman" w:cs="Times New Roman"/>
          <w:sz w:val="24"/>
          <w:szCs w:val="24"/>
          <w:lang w:val="en-US"/>
        </w:rPr>
        <w:t>. W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eight </w:t>
      </w:r>
      <w:r>
        <w:rPr>
          <w:rFonts w:ascii="Times New Roman" w:hAnsi="Times New Roman" w:cs="Times New Roman"/>
          <w:sz w:val="24"/>
          <w:szCs w:val="24"/>
          <w:lang w:val="en-US"/>
        </w:rPr>
        <w:t>Z-score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was calculated 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r>
        <w:rPr>
          <w:rFonts w:ascii="Times New Roman" w:hAnsi="Times New Roman" w:cs="Times New Roman"/>
          <w:sz w:val="24"/>
          <w:szCs w:val="24"/>
          <w:lang w:val="en-US"/>
        </w:rPr>
        <w:t>the Lambda Mu Sigma (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LMS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method. LMS method</w:t>
      </w:r>
      <w:r w:rsidRPr="00021616" w:rsidDel="008330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provides a way of obtaining smoothed growth percentile curves (3</w:t>
      </w:r>
      <w:r w:rsidRPr="00C56B3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rd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to 97</w:t>
      </w:r>
      <w:r w:rsidRPr="00C56B3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) where data were normalized by calculating for each series of age groups and the trend summarized by a smooth (L) curve and trends in the mean (M) and coefficient of variation (S) similarly smoothed </w:t>
      </w:r>
      <w:r w:rsidR="00430F47">
        <w:rPr>
          <w:rFonts w:ascii="Times New Roman" w:hAnsi="Times New Roman" w:cs="Times New Roman"/>
          <w:sz w:val="24"/>
          <w:szCs w:val="24"/>
          <w:lang w:val="en-US"/>
        </w:rPr>
        <w:t>(2)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>
        <w:rPr>
          <w:rFonts w:ascii="Times New Roman" w:hAnsi="Times New Roman" w:cs="Times New Roman"/>
          <w:sz w:val="24"/>
          <w:szCs w:val="24"/>
          <w:lang w:val="en-US"/>
        </w:rPr>
        <w:instrText xml:space="preserve"> ADDIN EN.CITE &lt;EndNote&gt;&lt;Cite&gt;&lt;Author&gt;Cole&lt;/Author&gt;&lt;Year&gt;1990&lt;/Year&gt;&lt;RecNum&gt;59&lt;/RecNum&gt;&lt;DisplayText&gt;[43]&lt;/DisplayText&gt;&lt;record&gt;&lt;rec-number&gt;59&lt;/rec-number&gt;&lt;foreign-keys&gt;&lt;key app="EN" db-id="0drwawtrrfafwresv5bpff07p0vsrrw2fwev" timestamp="1458835917"&gt;59&lt;/key&gt;&lt;/foreign-keys&gt;&lt;ref-type name="Journal Article"&gt;17&lt;/ref-type&gt;&lt;contributors&gt;&lt;authors&gt;&lt;author&gt;Cole, Tim J&lt;/author&gt;&lt;/authors&gt;&lt;/contributors&gt;&lt;titles&gt;&lt;title&gt;The LMS method for constructing normalized growth standards&lt;/title&gt;&lt;secondary-title&gt;European journal of clinical nutrition&lt;/secondary-title&gt;&lt;/titles&gt;&lt;periodical&gt;&lt;full-title&gt;European journal of clinical nutrition&lt;/full-title&gt;&lt;/periodical&gt;&lt;pages&gt;45-60&lt;/pages&gt;&lt;volume&gt;44&lt;/volume&gt;&lt;number&gt;1&lt;/number&gt;&lt;dates&gt;&lt;year&gt;1990&lt;/year&gt;&lt;/dates&gt;&lt;isbn&gt;0954-3007&lt;/isbn&gt;&lt;urls&gt;&lt;/urls&gt;&lt;/record&gt;&lt;/Cite&gt;&lt;/EndNote&gt;</w:instrTex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. The resulting L, M and S curves contain the information to draw any centile curve, and to convert measurements (even extreme values) into exact SD scores. We used reference growth curves for which LMS 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parameters have been published for weight, height and head circumference. For birth and discharge (up to 41 weeks of postmenstrual age) measurements, Olsen’s preterm infant growth chart </w:t>
      </w:r>
      <w:r w:rsidR="00864FA7">
        <w:rPr>
          <w:rFonts w:ascii="Times New Roman" w:hAnsi="Times New Roman" w:cs="Times New Roman"/>
          <w:sz w:val="24"/>
          <w:szCs w:val="24"/>
          <w:lang w:val="en-US"/>
        </w:rPr>
        <w:t>(3)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was applied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. Weight gain during hospitalization was assessed as the difference of weight </w:t>
      </w:r>
      <w:r>
        <w:rPr>
          <w:rFonts w:ascii="Times New Roman" w:hAnsi="Times New Roman" w:cs="Times New Roman"/>
          <w:sz w:val="24"/>
          <w:szCs w:val="24"/>
          <w:lang w:val="en-US"/>
        </w:rPr>
        <w:t>Z-score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(expressed in units of SD using the SD of the term category as </w:t>
      </w:r>
      <w:r w:rsidRPr="003D178B">
        <w:rPr>
          <w:rFonts w:ascii="Times New Roman" w:hAnsi="Times New Roman" w:cs="Times New Roman"/>
          <w:sz w:val="24"/>
          <w:szCs w:val="24"/>
          <w:lang w:val="en-US"/>
        </w:rPr>
        <w:t xml:space="preserve">the benchmark) between discharge and birth. Thereafter, infants were </w:t>
      </w:r>
      <w:r w:rsidR="00AB374F" w:rsidRPr="003D178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ranked, according to the change in weight Z-score between birth and hospital discharge. </w:t>
      </w:r>
      <w:r w:rsidR="00AB374F" w:rsidRPr="003D178B">
        <w:rPr>
          <w:rFonts w:ascii="Times New Roman" w:hAnsi="Times New Roman" w:cs="Times New Roman"/>
          <w:sz w:val="24"/>
          <w:szCs w:val="24"/>
          <w:lang w:val="en-US"/>
        </w:rPr>
        <w:t>For the sake of feasibility, only 26 patients</w:t>
      </w:r>
      <w:r w:rsidR="003D178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B374F" w:rsidRPr="003D178B">
        <w:rPr>
          <w:rFonts w:ascii="Times New Roman" w:hAnsi="Times New Roman" w:cs="Times New Roman"/>
          <w:sz w:val="24"/>
          <w:szCs w:val="24"/>
          <w:lang w:val="en-US"/>
        </w:rPr>
        <w:t xml:space="preserve"> ranked in the </w:t>
      </w:r>
      <w:r w:rsidR="00ED0EDD">
        <w:rPr>
          <w:rFonts w:ascii="Times New Roman" w:hAnsi="Times New Roman" w:cs="Times New Roman"/>
          <w:sz w:val="24"/>
          <w:szCs w:val="24"/>
          <w:lang w:val="en-US"/>
        </w:rPr>
        <w:t>fast</w:t>
      </w:r>
      <w:r w:rsidR="00AB374F" w:rsidRPr="003D178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ED0ED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AB374F" w:rsidRPr="003D178B">
        <w:rPr>
          <w:rFonts w:ascii="Times New Roman" w:hAnsi="Times New Roman" w:cs="Times New Roman"/>
          <w:sz w:val="24"/>
          <w:szCs w:val="24"/>
          <w:lang w:val="en-US"/>
        </w:rPr>
        <w:t xml:space="preserve">, n=11) and </w:t>
      </w:r>
      <w:r w:rsidR="00ED0ED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B374F" w:rsidRPr="003D178B">
        <w:rPr>
          <w:rFonts w:ascii="Times New Roman" w:hAnsi="Times New Roman" w:cs="Times New Roman"/>
          <w:sz w:val="24"/>
          <w:szCs w:val="24"/>
          <w:lang w:val="en-US"/>
        </w:rPr>
        <w:t>low (</w:t>
      </w:r>
      <w:r w:rsidR="00ED0ED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B374F" w:rsidRPr="003D178B">
        <w:rPr>
          <w:rFonts w:ascii="Times New Roman" w:hAnsi="Times New Roman" w:cs="Times New Roman"/>
          <w:sz w:val="24"/>
          <w:szCs w:val="24"/>
          <w:lang w:val="en-US"/>
        </w:rPr>
        <w:t>, n=15) postnatal growth</w:t>
      </w:r>
      <w:r w:rsidR="003D178B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B374F" w:rsidRPr="003D178B">
        <w:rPr>
          <w:rFonts w:ascii="Times New Roman" w:hAnsi="Times New Roman" w:cs="Times New Roman"/>
          <w:sz w:val="24"/>
          <w:szCs w:val="24"/>
          <w:lang w:val="en-US"/>
        </w:rPr>
        <w:t xml:space="preserve"> were enrolled in this sub-cohort study</w:t>
      </w:r>
      <w:r w:rsidR="003D178B" w:rsidRPr="003D178B">
        <w:rPr>
          <w:rFonts w:ascii="Times New Roman" w:hAnsi="Times New Roman" w:cs="Times New Roman"/>
          <w:sz w:val="24"/>
          <w:szCs w:val="24"/>
          <w:lang w:val="en-US"/>
        </w:rPr>
        <w:t>. T</w:t>
      </w:r>
      <w:r w:rsidR="003D178B" w:rsidRPr="003D178B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hese infants presented </w:t>
      </w:r>
      <w:r w:rsidR="003D178B" w:rsidRPr="003D178B">
        <w:rPr>
          <w:rFonts w:ascii="Times New Roman" w:hAnsi="Times New Roman" w:cs="Times New Roman"/>
          <w:sz w:val="24"/>
          <w:szCs w:val="24"/>
          <w:lang w:val="en-US"/>
        </w:rPr>
        <w:t xml:space="preserve">extreme values in change in weight Z-score between birth and hospital discharge (means: -1.54 and -0.48 SD for </w:t>
      </w:r>
      <w:r w:rsidR="00ED0ED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3D178B" w:rsidRPr="003D178B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ED0ED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3D178B" w:rsidRPr="003D178B">
        <w:rPr>
          <w:rFonts w:ascii="Times New Roman" w:hAnsi="Times New Roman" w:cs="Times New Roman"/>
          <w:sz w:val="24"/>
          <w:szCs w:val="24"/>
          <w:lang w:val="en-US"/>
        </w:rPr>
        <w:t xml:space="preserve"> group, respectively</w:t>
      </w:r>
      <w:r w:rsidR="003D178B" w:rsidRPr="00E5095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3D178B">
        <w:rPr>
          <w:rFonts w:ascii="Times New Roman" w:hAnsi="Times New Roman" w:cs="Times New Roman"/>
          <w:sz w:val="24"/>
          <w:szCs w:val="24"/>
          <w:lang w:val="en-US"/>
        </w:rPr>
        <w:t>, and sufficient milk sampling</w:t>
      </w:r>
      <w:r w:rsidR="008B193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3D178B">
        <w:rPr>
          <w:rFonts w:ascii="Times New Roman" w:hAnsi="Times New Roman" w:cs="Times New Roman"/>
          <w:sz w:val="24"/>
          <w:szCs w:val="24"/>
          <w:lang w:val="en-US"/>
        </w:rPr>
        <w:t xml:space="preserve"> from w2 to w7 of lactation were available</w:t>
      </w:r>
      <w:r w:rsidR="00ED0EDD">
        <w:rPr>
          <w:rFonts w:ascii="Times New Roman" w:hAnsi="Times New Roman" w:cs="Times New Roman"/>
          <w:sz w:val="24"/>
          <w:szCs w:val="24"/>
          <w:lang w:val="en-US"/>
        </w:rPr>
        <w:t xml:space="preserve"> for these infants</w:t>
      </w:r>
      <w:r w:rsidR="003D178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8585D">
        <w:rPr>
          <w:rFonts w:ascii="Times New Roman" w:hAnsi="Times New Roman" w:cs="Times New Roman"/>
          <w:sz w:val="24"/>
          <w:szCs w:val="24"/>
          <w:lang w:val="en-US"/>
        </w:rPr>
        <w:t xml:space="preserve">ead circumference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was determined, 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weekly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8585D">
        <w:rPr>
          <w:rFonts w:ascii="Times New Roman" w:hAnsi="Times New Roman" w:cs="Times New Roman"/>
          <w:sz w:val="24"/>
          <w:szCs w:val="24"/>
          <w:lang w:val="en-US"/>
        </w:rPr>
        <w:t xml:space="preserve"> with a non-stretch measuring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8585D">
        <w:rPr>
          <w:rFonts w:ascii="Times New Roman" w:hAnsi="Times New Roman" w:cs="Times New Roman"/>
          <w:sz w:val="24"/>
          <w:szCs w:val="24"/>
          <w:lang w:val="en-US"/>
        </w:rPr>
        <w:t>tape</w:t>
      </w:r>
      <w:r>
        <w:rPr>
          <w:rFonts w:ascii="Times New Roman" w:hAnsi="Times New Roman" w:cs="Times New Roman"/>
          <w:sz w:val="24"/>
          <w:szCs w:val="24"/>
          <w:lang w:val="en-US"/>
        </w:rPr>
        <w:t>, and the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difference of </w:t>
      </w:r>
      <w:r w:rsidRPr="0008585D">
        <w:rPr>
          <w:rFonts w:ascii="Times New Roman" w:hAnsi="Times New Roman" w:cs="Times New Roman"/>
          <w:sz w:val="24"/>
          <w:szCs w:val="24"/>
          <w:lang w:val="en-US"/>
        </w:rPr>
        <w:t>head circumference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Z-score 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between discharge and birth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was calculated, as described above regarding weight. </w:t>
      </w:r>
    </w:p>
    <w:p w:rsidR="00092E77" w:rsidRPr="00021616" w:rsidRDefault="00092E77" w:rsidP="00092E7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21616">
        <w:rPr>
          <w:rFonts w:ascii="Times New Roman" w:hAnsi="Times New Roman" w:cs="Times New Roman"/>
          <w:b/>
          <w:sz w:val="24"/>
          <w:szCs w:val="24"/>
          <w:lang w:val="en-US"/>
        </w:rPr>
        <w:t>Milk sample preparation and analytical repeatability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92E77" w:rsidRPr="00021616" w:rsidRDefault="002E6F45" w:rsidP="00092E7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Milk samples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removed from -80°C storage 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were allowed to thaw on ice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prepared for LC-</w:t>
      </w:r>
      <w:r w:rsidR="002B6DD2">
        <w:rPr>
          <w:rFonts w:ascii="Times New Roman" w:hAnsi="Times New Roman" w:cs="Times New Roman"/>
          <w:sz w:val="24"/>
          <w:szCs w:val="24"/>
          <w:lang w:val="en-US"/>
        </w:rPr>
        <w:t>HR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MS analysis. Modified liquid–liquid extraction method of Bligh-Dyer </w:t>
      </w:r>
      <w:r w:rsidR="00D45325">
        <w:rPr>
          <w:rFonts w:ascii="Times New Roman" w:hAnsi="Times New Roman" w:cs="Times New Roman"/>
          <w:sz w:val="24"/>
          <w:szCs w:val="24"/>
          <w:lang w:val="en-US"/>
        </w:rPr>
        <w:t>(4)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was used to extract and separate water-soluble </w:t>
      </w:r>
      <w:r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lipophilic metabolites. Briefly, 200 µL of a methanol-chloroform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MeOH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 CHCl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mixture (1:1, v/v) and 50 µL of 150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mM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sodium chloride were added to </w:t>
      </w:r>
      <w:r>
        <w:rPr>
          <w:rFonts w:ascii="Times New Roman" w:hAnsi="Times New Roman" w:cs="Times New Roman"/>
          <w:sz w:val="24"/>
          <w:szCs w:val="24"/>
          <w:lang w:val="en-US"/>
        </w:rPr>
        <w:t>each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aliquot of milk (50 µL)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thawed on ice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. Then, the liquid </w:t>
      </w:r>
      <w:r>
        <w:rPr>
          <w:rFonts w:ascii="Times New Roman" w:hAnsi="Times New Roman" w:cs="Times New Roman"/>
          <w:sz w:val="24"/>
          <w:szCs w:val="24"/>
          <w:lang w:val="en-US"/>
        </w:rPr>
        <w:t>CHCl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21616" w:rsidDel="001103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1103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MeOH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phases were separated after centrifugation (10 000 g for 10 min). After two extractions with 100µL </w:t>
      </w:r>
      <w:r>
        <w:rPr>
          <w:rFonts w:ascii="Times New Roman" w:hAnsi="Times New Roman" w:cs="Times New Roman"/>
          <w:sz w:val="24"/>
          <w:szCs w:val="24"/>
          <w:lang w:val="en-US"/>
        </w:rPr>
        <w:t>CHCl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, the organic layers were dried under a gentle nitrogen stream and subsequently reconstituted in 100 µL of acetonitrile-water (</w:t>
      </w:r>
      <w:r>
        <w:rPr>
          <w:rFonts w:ascii="Times New Roman" w:hAnsi="Times New Roman" w:cs="Times New Roman"/>
          <w:sz w:val="24"/>
          <w:szCs w:val="24"/>
          <w:lang w:val="en-US"/>
        </w:rPr>
        <w:t>ACN: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30:70, v/v) or acetonitrile-</w:t>
      </w:r>
      <w:r>
        <w:rPr>
          <w:rFonts w:ascii="Times New Roman" w:hAnsi="Times New Roman" w:cs="Times New Roman"/>
          <w:sz w:val="24"/>
          <w:szCs w:val="24"/>
          <w:lang w:val="en-US"/>
        </w:rPr>
        <w:t>isopropanol-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water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ACN: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F2CF1">
        <w:rPr>
          <w:rFonts w:ascii="Times New Roman" w:hAnsi="Times New Roman" w:cs="Times New Roman"/>
          <w:sz w:val="24"/>
          <w:szCs w:val="24"/>
          <w:lang w:val="en-US"/>
        </w:rPr>
        <w:t>IPA: H</w:t>
      </w:r>
      <w:r w:rsidRPr="002F2CF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F2CF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65:30:5</w:t>
      </w:r>
      <w:r>
        <w:rPr>
          <w:rFonts w:ascii="Times New Roman" w:hAnsi="Times New Roman" w:cs="Times New Roman"/>
          <w:sz w:val="24"/>
          <w:szCs w:val="24"/>
          <w:lang w:val="en-US"/>
        </w:rPr>
        <w:t>, v/v/v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) and 5 µL were injected the same day onto the LC–HRMS system. The methodologic precision associated with sample preparation and LC-</w:t>
      </w:r>
      <w:r>
        <w:rPr>
          <w:rFonts w:ascii="Times New Roman" w:hAnsi="Times New Roman" w:cs="Times New Roman"/>
          <w:sz w:val="24"/>
          <w:szCs w:val="24"/>
          <w:lang w:val="en-US"/>
        </w:rPr>
        <w:t>HR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MS measurement </w:t>
      </w:r>
      <w:r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determined </w:t>
      </w:r>
      <w:r>
        <w:rPr>
          <w:rFonts w:ascii="Times New Roman" w:hAnsi="Times New Roman" w:cs="Times New Roman"/>
          <w:sz w:val="24"/>
          <w:szCs w:val="24"/>
          <w:lang w:val="en-US"/>
        </w:rPr>
        <w:t>on the basis of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a quality control 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(QC) </w:t>
      </w:r>
      <w:r>
        <w:rPr>
          <w:rFonts w:ascii="Times New Roman" w:hAnsi="Times New Roman" w:cs="Times New Roman"/>
          <w:sz w:val="24"/>
          <w:szCs w:val="24"/>
          <w:lang w:val="en-US"/>
        </w:rPr>
        <w:t>consisting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of a pool of 10 mothers’ milk provided by the </w:t>
      </w:r>
      <w:r>
        <w:rPr>
          <w:rFonts w:ascii="Times New Roman" w:hAnsi="Times New Roman" w:cs="Times New Roman"/>
          <w:sz w:val="24"/>
          <w:szCs w:val="24"/>
          <w:lang w:val="en-US"/>
        </w:rPr>
        <w:t>milk bank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of Nantes Hospital Center. The QC was separated into aliquots stored at -20°C then, freshly extracted along with each sample batch and analyzed in a random order throughout the analytical run</w:t>
      </w:r>
      <w:r w:rsidRPr="00C522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to evaluate potential bias of the measurements over the time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2E6F45" w:rsidRDefault="002E6F45" w:rsidP="002E6F45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21616">
        <w:rPr>
          <w:rFonts w:ascii="Times New Roman" w:hAnsi="Times New Roman" w:cs="Times New Roman"/>
          <w:b/>
          <w:sz w:val="24"/>
          <w:szCs w:val="24"/>
          <w:lang w:val="en-US"/>
        </w:rPr>
        <w:t xml:space="preserve">Milk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total fatty acids analysis</w:t>
      </w:r>
    </w:p>
    <w:p w:rsidR="002E6F45" w:rsidRPr="00DE59F1" w:rsidRDefault="002E6F45" w:rsidP="002E6F45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E59F1">
        <w:rPr>
          <w:rFonts w:ascii="Times New Roman" w:hAnsi="Times New Roman" w:cs="Times New Roman"/>
          <w:sz w:val="24"/>
          <w:szCs w:val="24"/>
          <w:lang w:val="en-GB"/>
        </w:rPr>
        <w:t xml:space="preserve">Total lipids were extracted as described above and 1ml of toluene was added to dissolve triglycerides in the dried organic phases. Total fatty acids were trans-esterified using </w:t>
      </w:r>
      <w:proofErr w:type="spellStart"/>
      <w:r w:rsidRPr="00DE59F1">
        <w:rPr>
          <w:rFonts w:ascii="Times New Roman" w:hAnsi="Times New Roman" w:cs="Times New Roman"/>
          <w:sz w:val="24"/>
          <w:szCs w:val="24"/>
          <w:lang w:val="en-GB"/>
        </w:rPr>
        <w:t>trifluoride</w:t>
      </w:r>
      <w:proofErr w:type="spellEnd"/>
      <w:r w:rsidRPr="00DE59F1">
        <w:rPr>
          <w:rFonts w:ascii="Times New Roman" w:hAnsi="Times New Roman" w:cs="Times New Roman"/>
          <w:sz w:val="24"/>
          <w:szCs w:val="24"/>
          <w:lang w:val="en-GB"/>
        </w:rPr>
        <w:t xml:space="preserve"> and the fatty acids methyl esters were extracted and analysed </w:t>
      </w:r>
      <w:r w:rsidRPr="00A41ED4">
        <w:rPr>
          <w:rFonts w:ascii="Times New Roman" w:hAnsi="Times New Roman" w:cs="Times New Roman"/>
          <w:sz w:val="24"/>
          <w:szCs w:val="24"/>
          <w:lang w:val="en-GB"/>
        </w:rPr>
        <w:t>by gas chromatography using an Agilent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41ED4">
        <w:rPr>
          <w:rFonts w:ascii="Times New Roman" w:hAnsi="Times New Roman" w:cs="Times New Roman"/>
          <w:sz w:val="24"/>
          <w:szCs w:val="24"/>
          <w:lang w:val="en-GB"/>
        </w:rPr>
        <w:t>Technologies 7890A</w:t>
      </w:r>
      <w:r w:rsidRPr="00DE59F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®</w:t>
      </w:r>
      <w:r w:rsidRPr="00A41ED4">
        <w:rPr>
          <w:rFonts w:ascii="Times New Roman" w:hAnsi="Times New Roman" w:cs="Times New Roman"/>
          <w:sz w:val="24"/>
          <w:szCs w:val="24"/>
          <w:lang w:val="en-GB"/>
        </w:rPr>
        <w:t xml:space="preserve"> instrument </w:t>
      </w:r>
      <w:r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A41ED4">
        <w:rPr>
          <w:rFonts w:ascii="Times New Roman" w:hAnsi="Times New Roman" w:cs="Times New Roman"/>
          <w:sz w:val="24"/>
          <w:szCs w:val="24"/>
          <w:lang w:val="en-GB"/>
        </w:rPr>
        <w:t>Perkin Elmer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A41ED4">
        <w:rPr>
          <w:rFonts w:ascii="Times New Roman" w:hAnsi="Times New Roman" w:cs="Times New Roman"/>
          <w:sz w:val="24"/>
          <w:szCs w:val="24"/>
          <w:lang w:val="en-GB"/>
        </w:rPr>
        <w:t xml:space="preserve"> France)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E59F1">
        <w:rPr>
          <w:rFonts w:ascii="Times New Roman" w:hAnsi="Times New Roman" w:cs="Times New Roman"/>
          <w:sz w:val="24"/>
          <w:szCs w:val="24"/>
          <w:lang w:val="en-GB"/>
        </w:rPr>
        <w:t xml:space="preserve">as previously described in our lab </w:t>
      </w:r>
      <w:r w:rsidRPr="00DE59F1">
        <w:rPr>
          <w:rFonts w:ascii="Times New Roman" w:hAnsi="Times New Roman" w:cs="Times New Roman"/>
          <w:sz w:val="24"/>
          <w:szCs w:val="24"/>
          <w:lang w:val="en-GB"/>
        </w:rPr>
        <w:fldChar w:fldCharType="begin"/>
      </w:r>
      <w:r>
        <w:rPr>
          <w:rFonts w:ascii="Times New Roman" w:hAnsi="Times New Roman" w:cs="Times New Roman"/>
          <w:sz w:val="24"/>
          <w:szCs w:val="24"/>
          <w:lang w:val="en-GB"/>
        </w:rPr>
        <w:instrText xml:space="preserve"> ADDIN EN.CITE &lt;EndNote&gt;&lt;Cite&gt;&lt;Author&gt;Martin Agnoux A.  Antignac JP&lt;/Author&gt;&lt;Year&gt;2015 &lt;/Year&gt;&lt;RecNum&gt;69&lt;/RecNum&gt;&lt;DisplayText&gt;[48]&lt;/DisplayText&gt;&lt;record&gt;&lt;rec-number&gt;69&lt;/rec-number&gt;&lt;foreign-keys&gt;&lt;key app="EN" db-id="0drwawtrrfafwresv5bpff07p0vsrrw2fwev" timestamp="1458836512"&gt;69&lt;/key&gt;&lt;/foreign-keys&gt;&lt;ref-type name="Journal Article"&gt;17&lt;/ref-type&gt;&lt;contributors&gt;&lt;authors&gt;&lt;author&gt;Martin Agnoux A.  Antignac JP, Boquien CY. David A, Desnots E, Ferchaud-Roucher V, Darmaun D, Parnet P, Alexandre-Gouabau MC &lt;/author&gt;&lt;/authors&gt;&lt;/contributors&gt;&lt;titles&gt;&lt;title&gt;&lt;style face="normal" font="Times New Roman" size="12"&gt;Perinatal protein restriction effect on milk free amino acids and fatty acids profile in lactating rats and its potential role on growth and metabolic status of the pups&lt;/style&gt;&lt;/title&gt;&lt;secondary-title&gt;J Nutr Biochemistry&lt;/secondary-title&gt;&lt;/titles&gt;&lt;periodical&gt;&lt;full-title&gt;J Nutr Biochemistry&lt;/full-title&gt;&lt;/periodical&gt;&lt;pages&gt;784-795&lt;/pages&gt;&lt;volume&gt;26(7)&lt;/volume&gt;&lt;dates&gt;&lt;year&gt;2015 &lt;/year&gt;&lt;/dates&gt;&lt;urls&gt;&lt;/urls&gt;&lt;/record&gt;&lt;/Cite&gt;&lt;/EndNote&gt;</w:instrText>
      </w:r>
      <w:r w:rsidRPr="00DE59F1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="00AB374F">
        <w:rPr>
          <w:rFonts w:ascii="Times New Roman" w:hAnsi="Times New Roman" w:cs="Times New Roman"/>
          <w:noProof/>
          <w:sz w:val="24"/>
          <w:szCs w:val="24"/>
          <w:lang w:val="en-GB"/>
        </w:rPr>
        <w:t>(</w:t>
      </w:r>
      <w:hyperlink w:anchor="_ENREF_48" w:tooltip="Martin Agnoux A.  Antignac JP, 2015  #69" w:history="1">
        <w:r w:rsidR="00AB374F">
          <w:rPr>
            <w:rFonts w:ascii="Times New Roman" w:hAnsi="Times New Roman" w:cs="Times New Roman"/>
            <w:noProof/>
            <w:sz w:val="24"/>
            <w:szCs w:val="24"/>
            <w:lang w:val="en-GB"/>
          </w:rPr>
          <w:t>5</w:t>
        </w:r>
      </w:hyperlink>
      <w:r w:rsidRPr="00DE59F1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="00AB374F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DE59F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:rsidR="002E6F45" w:rsidRPr="00021616" w:rsidRDefault="00092E77" w:rsidP="002B6DD2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8127F7">
        <w:rPr>
          <w:rFonts w:ascii="Times New Roman" w:hAnsi="Times New Roman" w:cs="Times New Roman"/>
          <w:b/>
          <w:sz w:val="24"/>
          <w:szCs w:val="24"/>
          <w:lang w:val="en-US"/>
        </w:rPr>
        <w:t xml:space="preserve">iquid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8127F7">
        <w:rPr>
          <w:rFonts w:ascii="Times New Roman" w:hAnsi="Times New Roman" w:cs="Times New Roman"/>
          <w:b/>
          <w:sz w:val="24"/>
          <w:szCs w:val="24"/>
          <w:lang w:val="en-US"/>
        </w:rPr>
        <w:t>hromatography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-High-Resolution-M</w:t>
      </w:r>
      <w:r w:rsidRPr="008127F7">
        <w:rPr>
          <w:rFonts w:ascii="Times New Roman" w:hAnsi="Times New Roman" w:cs="Times New Roman"/>
          <w:b/>
          <w:sz w:val="24"/>
          <w:szCs w:val="24"/>
          <w:lang w:val="en-US"/>
        </w:rPr>
        <w:t>ass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S</w:t>
      </w:r>
      <w:r w:rsidRPr="008127F7">
        <w:rPr>
          <w:rFonts w:ascii="Times New Roman" w:hAnsi="Times New Roman" w:cs="Times New Roman"/>
          <w:b/>
          <w:sz w:val="24"/>
          <w:szCs w:val="24"/>
          <w:lang w:val="en-US"/>
        </w:rPr>
        <w:t>pectrometry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(LC-HRMS)</w:t>
      </w:r>
      <w:r w:rsidR="002B6DD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E6F45" w:rsidRPr="00021616">
        <w:rPr>
          <w:rFonts w:ascii="Times New Roman" w:hAnsi="Times New Roman" w:cs="Times New Roman"/>
          <w:b/>
          <w:sz w:val="24"/>
          <w:szCs w:val="24"/>
          <w:lang w:val="en-US"/>
        </w:rPr>
        <w:t>conditions and experiments</w:t>
      </w:r>
    </w:p>
    <w:p w:rsidR="002E6F45" w:rsidRPr="00021616" w:rsidRDefault="002E6F45" w:rsidP="002E6F4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21616">
        <w:rPr>
          <w:rFonts w:ascii="Times New Roman" w:hAnsi="Times New Roman" w:cs="Times New Roman"/>
          <w:sz w:val="24"/>
          <w:szCs w:val="24"/>
          <w:lang w:val="en-US"/>
        </w:rPr>
        <w:t>A 1200 infinity series</w:t>
      </w:r>
      <w:r w:rsidRPr="00D148B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sym w:font="Symbol" w:char="F0D2"/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high performance liquid chromatography (HPLC) system (Agilent Technologies, Santa Clara, California, USA) coupled to an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Exactive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Orbitrap</w:t>
      </w:r>
      <w:proofErr w:type="spellEnd"/>
      <w:r w:rsidRPr="00D148B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sym w:font="Symbol" w:char="F0D2"/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mass spectrometer (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Thermo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Fisher Scientific, Bremen, Germany) equipped with a heated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electospray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(H-ESI II) source (operating in polarity switch mode) was used for lipid profiling. The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ull instrument calibration was performed using a MSCAL6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ProteoMassT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LTQ/FT-Hybrid ESI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Pos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Neg</w:t>
      </w:r>
      <w:proofErr w:type="spellEnd"/>
      <w:r w:rsidRPr="00D148B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sym w:font="Symbol" w:char="F0D2"/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(Sigma–Aldrich).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Xcalibur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2.2</w:t>
      </w:r>
      <w:r w:rsidRPr="00D148B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sym w:font="Symbol" w:char="F0D2"/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Thermo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Fisher Scientific, San Jose, CA, USA) was used for data acquisition and analysis. Lipid species separation was performed on a reverse phase CSH</w:t>
      </w:r>
      <w:r w:rsidRPr="00D148B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sym w:font="Symbol" w:char="F0D2"/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C</w:t>
      </w:r>
      <w:r w:rsidRPr="00E623D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18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(100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2.1 mm</w:t>
      </w:r>
      <w:r w:rsidRPr="00E623D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i.d.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, 1.7 </w:t>
      </w:r>
      <w:r>
        <w:rPr>
          <w:rFonts w:ascii="Times New Roman" w:hAnsi="Times New Roman" w:cs="Times New Roman"/>
          <w:sz w:val="24"/>
          <w:szCs w:val="24"/>
          <w:lang w:val="en-US"/>
        </w:rPr>
        <w:t>µ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m particle size) column (Waters Corporation, Milford, MA) using ACN:H</w:t>
      </w:r>
      <w:r w:rsidRPr="002F2CF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O (60:40) and IPA:ACN:H</w:t>
      </w:r>
      <w:r w:rsidRPr="002F2CF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O (88:10:2) as solvent A and B, respectively; both containing 10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mM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ammonium acetate and 0.1 % acetic acid according to 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Gallart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>-Ayala et al.</w:t>
      </w:r>
      <w:r w:rsidR="002B6DD2">
        <w:rPr>
          <w:rFonts w:ascii="Times New Roman" w:hAnsi="Times New Roman" w:cs="Times New Roman"/>
          <w:sz w:val="24"/>
          <w:szCs w:val="24"/>
          <w:lang w:val="en-US"/>
        </w:rPr>
        <w:t xml:space="preserve"> (1).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Then, a polarity switching ion mode (positive/negative) and ‘‘all ion fragmentation’’ (AIF) MS/MS mode (mass range m/z 100–2000) applying 50 eV 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in-source </w:t>
      </w:r>
      <w:r>
        <w:rPr>
          <w:rFonts w:ascii="Times New Roman" w:hAnsi="Times New Roman" w:cs="Times New Roman"/>
          <w:sz w:val="24"/>
          <w:szCs w:val="24"/>
          <w:lang w:val="en-US"/>
        </w:rPr>
        <w:t>collision-induced dissociation (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CID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fragmentation at a mass resolving power of 50,000 full width half maximum (FWHM) (m/z 200) and a scanning rate of 2 spect</w:t>
      </w:r>
      <w:r>
        <w:rPr>
          <w:rFonts w:ascii="Times New Roman" w:hAnsi="Times New Roman" w:cs="Times New Roman"/>
          <w:sz w:val="24"/>
          <w:szCs w:val="24"/>
          <w:lang w:val="en-US"/>
        </w:rPr>
        <w:t>ra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w</w:t>
      </w:r>
      <w:r>
        <w:rPr>
          <w:rFonts w:ascii="Times New Roman" w:hAnsi="Times New Roman" w:cs="Times New Roman"/>
          <w:sz w:val="24"/>
          <w:szCs w:val="24"/>
          <w:lang w:val="en-US"/>
        </w:rPr>
        <w:t>ere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applied </w:t>
      </w:r>
      <w:r w:rsidR="002B6DD2">
        <w:rPr>
          <w:rFonts w:ascii="Times New Roman" w:hAnsi="Times New Roman" w:cs="Times New Roman"/>
          <w:sz w:val="24"/>
          <w:szCs w:val="24"/>
          <w:lang w:val="en-US"/>
        </w:rPr>
        <w:t>(1)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. External mass calibration without the use of specific lock masses was employed. A standard lipid solution was analyzed at the beginning and at the end of each batch of samples to control the accuracy and precision of the system</w:t>
      </w:r>
      <w:r w:rsidR="002B6DD2">
        <w:rPr>
          <w:rFonts w:ascii="Times New Roman" w:hAnsi="Times New Roman" w:cs="Times New Roman"/>
          <w:sz w:val="24"/>
          <w:szCs w:val="24"/>
          <w:lang w:val="en-US"/>
        </w:rPr>
        <w:t xml:space="preserve"> (1)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. The robust quality assurance for each metabolic feature detected was assessed through the means ± SDs of the </w:t>
      </w:r>
      <w:r>
        <w:rPr>
          <w:rFonts w:ascii="Times New Roman" w:hAnsi="Times New Roman" w:cs="Times New Roman"/>
          <w:sz w:val="24"/>
          <w:szCs w:val="24"/>
          <w:lang w:val="en-US"/>
        </w:rPr>
        <w:t>coefficient of variation (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CV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%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for each [</w:t>
      </w:r>
      <w:proofErr w:type="spellStart"/>
      <w:r w:rsidRPr="00021616">
        <w:rPr>
          <w:rFonts w:ascii="Times New Roman" w:hAnsi="Times New Roman" w:cs="Times New Roman"/>
          <w:sz w:val="24"/>
          <w:szCs w:val="24"/>
          <w:lang w:val="en-US"/>
        </w:rPr>
        <w:t>mz</w:t>
      </w:r>
      <w:proofErr w:type="spellEnd"/>
      <w:r w:rsidRPr="00021616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retention time (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>RT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] features for 8 replicates of the </w:t>
      </w:r>
      <w:r>
        <w:rPr>
          <w:rFonts w:ascii="Times New Roman" w:hAnsi="Times New Roman" w:cs="Times New Roman"/>
          <w:sz w:val="24"/>
          <w:szCs w:val="24"/>
          <w:lang w:val="en-US"/>
        </w:rPr>
        <w:t>QC</w:t>
      </w:r>
      <w:r w:rsidRPr="00021616">
        <w:rPr>
          <w:rFonts w:ascii="Times New Roman" w:hAnsi="Times New Roman" w:cs="Times New Roman"/>
          <w:sz w:val="24"/>
          <w:szCs w:val="24"/>
          <w:lang w:val="en-US"/>
        </w:rPr>
        <w:t xml:space="preserve"> per analysis sequence. </w:t>
      </w:r>
    </w:p>
    <w:p w:rsidR="00877B96" w:rsidRDefault="006716F4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Supplemental Material References</w:t>
      </w:r>
    </w:p>
    <w:p w:rsidR="006716F4" w:rsidRDefault="006716F4" w:rsidP="006716F4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716F4">
        <w:rPr>
          <w:rFonts w:ascii="Times New Roman" w:hAnsi="Times New Roman" w:cs="Times New Roman"/>
          <w:sz w:val="24"/>
          <w:szCs w:val="24"/>
          <w:lang w:val="en-US"/>
        </w:rPr>
        <w:t>Gallart</w:t>
      </w:r>
      <w:proofErr w:type="spellEnd"/>
      <w:r w:rsidRPr="006716F4">
        <w:rPr>
          <w:rFonts w:ascii="Times New Roman" w:hAnsi="Times New Roman" w:cs="Times New Roman"/>
          <w:sz w:val="24"/>
          <w:szCs w:val="24"/>
          <w:lang w:val="en-US"/>
        </w:rPr>
        <w:t xml:space="preserve">-Ayala H, Courant F, Severe S, </w:t>
      </w:r>
      <w:proofErr w:type="spellStart"/>
      <w:r w:rsidRPr="006716F4">
        <w:rPr>
          <w:rFonts w:ascii="Times New Roman" w:hAnsi="Times New Roman" w:cs="Times New Roman"/>
          <w:sz w:val="24"/>
          <w:szCs w:val="24"/>
          <w:lang w:val="en-US"/>
        </w:rPr>
        <w:t>Antignac</w:t>
      </w:r>
      <w:proofErr w:type="spellEnd"/>
      <w:r w:rsidRPr="006716F4">
        <w:rPr>
          <w:rFonts w:ascii="Times New Roman" w:hAnsi="Times New Roman" w:cs="Times New Roman"/>
          <w:sz w:val="24"/>
          <w:szCs w:val="24"/>
          <w:lang w:val="en-US"/>
        </w:rPr>
        <w:t xml:space="preserve"> JP, </w:t>
      </w:r>
      <w:proofErr w:type="spellStart"/>
      <w:r w:rsidRPr="006716F4">
        <w:rPr>
          <w:rFonts w:ascii="Times New Roman" w:hAnsi="Times New Roman" w:cs="Times New Roman"/>
          <w:sz w:val="24"/>
          <w:szCs w:val="24"/>
          <w:lang w:val="en-US"/>
        </w:rPr>
        <w:t>Morio</w:t>
      </w:r>
      <w:proofErr w:type="spellEnd"/>
      <w:r w:rsidRPr="006716F4">
        <w:rPr>
          <w:rFonts w:ascii="Times New Roman" w:hAnsi="Times New Roman" w:cs="Times New Roman"/>
          <w:sz w:val="24"/>
          <w:szCs w:val="24"/>
          <w:lang w:val="en-US"/>
        </w:rPr>
        <w:t xml:space="preserve"> F, </w:t>
      </w:r>
      <w:proofErr w:type="spellStart"/>
      <w:r w:rsidRPr="006716F4">
        <w:rPr>
          <w:rFonts w:ascii="Times New Roman" w:hAnsi="Times New Roman" w:cs="Times New Roman"/>
          <w:sz w:val="24"/>
          <w:szCs w:val="24"/>
          <w:lang w:val="en-US"/>
        </w:rPr>
        <w:t>Abadie</w:t>
      </w:r>
      <w:proofErr w:type="spellEnd"/>
      <w:r w:rsidRPr="006716F4">
        <w:rPr>
          <w:rFonts w:ascii="Times New Roman" w:hAnsi="Times New Roman" w:cs="Times New Roman"/>
          <w:sz w:val="24"/>
          <w:szCs w:val="24"/>
          <w:lang w:val="en-US"/>
        </w:rPr>
        <w:t xml:space="preserve"> J, Le </w:t>
      </w:r>
      <w:proofErr w:type="spellStart"/>
      <w:r w:rsidRPr="006716F4">
        <w:rPr>
          <w:rFonts w:ascii="Times New Roman" w:hAnsi="Times New Roman" w:cs="Times New Roman"/>
          <w:sz w:val="24"/>
          <w:szCs w:val="24"/>
          <w:lang w:val="en-US"/>
        </w:rPr>
        <w:t>Bizec</w:t>
      </w:r>
      <w:proofErr w:type="spellEnd"/>
      <w:r w:rsidRPr="006716F4">
        <w:rPr>
          <w:rFonts w:ascii="Times New Roman" w:hAnsi="Times New Roman" w:cs="Times New Roman"/>
          <w:sz w:val="24"/>
          <w:szCs w:val="24"/>
          <w:lang w:val="en-US"/>
        </w:rPr>
        <w:t xml:space="preserve"> B. Versatile lipid profiling by liquid chromatography-high resolution mass spectrometry using all ion fragmentation and polarity switching. Preliminary application for serum samples phenotyping related to canine mammary cancer. Anal </w:t>
      </w:r>
      <w:proofErr w:type="spellStart"/>
      <w:r w:rsidRPr="006716F4">
        <w:rPr>
          <w:rFonts w:ascii="Times New Roman" w:hAnsi="Times New Roman" w:cs="Times New Roman"/>
          <w:sz w:val="24"/>
          <w:szCs w:val="24"/>
          <w:lang w:val="en-US"/>
        </w:rPr>
        <w:t>Chim</w:t>
      </w:r>
      <w:proofErr w:type="spellEnd"/>
      <w:r w:rsidRPr="006716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716F4">
        <w:rPr>
          <w:rFonts w:ascii="Times New Roman" w:hAnsi="Times New Roman" w:cs="Times New Roman"/>
          <w:sz w:val="24"/>
          <w:szCs w:val="24"/>
          <w:lang w:val="en-US"/>
        </w:rPr>
        <w:t>Acta</w:t>
      </w:r>
      <w:proofErr w:type="spellEnd"/>
      <w:r w:rsidRPr="006716F4">
        <w:rPr>
          <w:rFonts w:ascii="Times New Roman" w:hAnsi="Times New Roman" w:cs="Times New Roman"/>
          <w:sz w:val="24"/>
          <w:szCs w:val="24"/>
          <w:lang w:val="en-US"/>
        </w:rPr>
        <w:t xml:space="preserve"> 2013</w:t>
      </w:r>
      <w:proofErr w:type="gramStart"/>
      <w:r w:rsidRPr="006716F4">
        <w:rPr>
          <w:rFonts w:ascii="Times New Roman" w:hAnsi="Times New Roman" w:cs="Times New Roman"/>
          <w:sz w:val="24"/>
          <w:szCs w:val="24"/>
          <w:lang w:val="en-US"/>
        </w:rPr>
        <w:t>;796:75</w:t>
      </w:r>
      <w:proofErr w:type="gramEnd"/>
      <w:r w:rsidRPr="006716F4">
        <w:rPr>
          <w:rFonts w:ascii="Times New Roman" w:hAnsi="Times New Roman" w:cs="Times New Roman"/>
          <w:sz w:val="24"/>
          <w:szCs w:val="24"/>
          <w:lang w:val="en-US"/>
        </w:rPr>
        <w:t>–83 (</w:t>
      </w:r>
      <w:proofErr w:type="spellStart"/>
      <w:r w:rsidRPr="006716F4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Pr="006716F4">
        <w:rPr>
          <w:rFonts w:ascii="Times New Roman" w:hAnsi="Times New Roman" w:cs="Times New Roman"/>
          <w:sz w:val="24"/>
          <w:szCs w:val="24"/>
          <w:lang w:val="en-US"/>
        </w:rPr>
        <w:t>: 10.1016/j.aca.2013.08.006).</w:t>
      </w:r>
    </w:p>
    <w:p w:rsidR="00864FA7" w:rsidRDefault="00864FA7" w:rsidP="006716F4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FA7">
        <w:rPr>
          <w:rFonts w:ascii="Times New Roman" w:hAnsi="Times New Roman" w:cs="Times New Roman"/>
          <w:sz w:val="24"/>
          <w:szCs w:val="24"/>
          <w:lang w:val="en-US"/>
        </w:rPr>
        <w:t>Cole TJ. The LMS method for constructing normalized growth standards</w:t>
      </w:r>
      <w:r w:rsidRPr="00864FA7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r w:rsidRPr="00864F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11D89">
        <w:rPr>
          <w:rFonts w:ascii="Times New Roman" w:hAnsi="Times New Roman" w:cs="Times New Roman"/>
          <w:sz w:val="24"/>
          <w:szCs w:val="24"/>
        </w:rPr>
        <w:t xml:space="preserve">Euro J Clin </w:t>
      </w:r>
      <w:proofErr w:type="spellStart"/>
      <w:r w:rsidRPr="00211D89">
        <w:rPr>
          <w:rFonts w:ascii="Times New Roman" w:hAnsi="Times New Roman" w:cs="Times New Roman"/>
          <w:sz w:val="24"/>
          <w:szCs w:val="24"/>
        </w:rPr>
        <w:t>Nutr</w:t>
      </w:r>
      <w:proofErr w:type="spellEnd"/>
      <w:r w:rsidRPr="00211D89">
        <w:rPr>
          <w:rFonts w:ascii="Times New Roman" w:hAnsi="Times New Roman" w:cs="Times New Roman"/>
          <w:sz w:val="24"/>
          <w:szCs w:val="24"/>
        </w:rPr>
        <w:t xml:space="preserve"> 1990;44(1):45-60.</w:t>
      </w:r>
    </w:p>
    <w:p w:rsidR="00430F47" w:rsidRDefault="00430F47" w:rsidP="00D45325">
      <w:pPr>
        <w:pStyle w:val="Paragraphedeliste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0F47">
        <w:rPr>
          <w:rFonts w:ascii="Times New Roman" w:hAnsi="Times New Roman" w:cs="Times New Roman"/>
          <w:sz w:val="24"/>
          <w:szCs w:val="24"/>
          <w:lang w:val="en-US"/>
        </w:rPr>
        <w:t xml:space="preserve">Olsen IE, </w:t>
      </w:r>
      <w:proofErr w:type="spellStart"/>
      <w:r w:rsidRPr="00430F47">
        <w:rPr>
          <w:rFonts w:ascii="Times New Roman" w:hAnsi="Times New Roman" w:cs="Times New Roman"/>
          <w:sz w:val="24"/>
          <w:szCs w:val="24"/>
          <w:lang w:val="en-US"/>
        </w:rPr>
        <w:t>Groveman</w:t>
      </w:r>
      <w:proofErr w:type="spellEnd"/>
      <w:r w:rsidRPr="00430F47">
        <w:rPr>
          <w:rFonts w:ascii="Times New Roman" w:hAnsi="Times New Roman" w:cs="Times New Roman"/>
          <w:sz w:val="24"/>
          <w:szCs w:val="24"/>
          <w:lang w:val="en-US"/>
        </w:rPr>
        <w:t xml:space="preserve"> SA, Lawson ML, Clark RH, </w:t>
      </w:r>
      <w:proofErr w:type="spellStart"/>
      <w:r w:rsidRPr="00430F47">
        <w:rPr>
          <w:rFonts w:ascii="Times New Roman" w:hAnsi="Times New Roman" w:cs="Times New Roman"/>
          <w:sz w:val="24"/>
          <w:szCs w:val="24"/>
          <w:lang w:val="en-US"/>
        </w:rPr>
        <w:t>Zemel</w:t>
      </w:r>
      <w:proofErr w:type="spellEnd"/>
      <w:r w:rsidRPr="00430F47">
        <w:rPr>
          <w:rFonts w:ascii="Times New Roman" w:hAnsi="Times New Roman" w:cs="Times New Roman"/>
          <w:sz w:val="24"/>
          <w:szCs w:val="24"/>
          <w:lang w:val="en-US"/>
        </w:rPr>
        <w:t xml:space="preserve"> BS. New intrauterine growth curves based on United States data. Pediatrics 2010</w:t>
      </w:r>
      <w:proofErr w:type="gramStart"/>
      <w:r w:rsidRPr="00430F47">
        <w:rPr>
          <w:rFonts w:ascii="Times New Roman" w:hAnsi="Times New Roman" w:cs="Times New Roman"/>
          <w:sz w:val="24"/>
          <w:szCs w:val="24"/>
          <w:lang w:val="en-US"/>
        </w:rPr>
        <w:t>;125</w:t>
      </w:r>
      <w:proofErr w:type="gramEnd"/>
      <w:r w:rsidRPr="00430F47">
        <w:rPr>
          <w:rFonts w:ascii="Times New Roman" w:hAnsi="Times New Roman" w:cs="Times New Roman"/>
          <w:sz w:val="24"/>
          <w:szCs w:val="24"/>
          <w:lang w:val="en-US"/>
        </w:rPr>
        <w:t>;e214-e224 (</w:t>
      </w:r>
      <w:proofErr w:type="spellStart"/>
      <w:r w:rsidRPr="00430F47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Pr="00430F47">
        <w:rPr>
          <w:rFonts w:ascii="Times New Roman" w:hAnsi="Times New Roman" w:cs="Times New Roman"/>
          <w:sz w:val="24"/>
          <w:szCs w:val="24"/>
          <w:lang w:val="en-US"/>
        </w:rPr>
        <w:t>: 10.1542/peds.2009-0913).</w:t>
      </w:r>
    </w:p>
    <w:p w:rsidR="00D45325" w:rsidRPr="00211D89" w:rsidRDefault="00D45325" w:rsidP="00D45325">
      <w:pPr>
        <w:pStyle w:val="EndNoteBibliography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1D89">
        <w:rPr>
          <w:rFonts w:ascii="Times New Roman" w:hAnsi="Times New Roman" w:cs="Times New Roman"/>
          <w:sz w:val="24"/>
          <w:szCs w:val="24"/>
        </w:rPr>
        <w:t>Bligh E, Dyer WJ. A rapid method of total lipid extraction and purification</w:t>
      </w:r>
      <w:r w:rsidRPr="00211D89">
        <w:rPr>
          <w:rFonts w:ascii="Times New Roman" w:hAnsi="Times New Roman" w:cs="Times New Roman"/>
          <w:i/>
          <w:sz w:val="24"/>
          <w:szCs w:val="24"/>
        </w:rPr>
        <w:t>.</w:t>
      </w:r>
      <w:r w:rsidRPr="00211D89">
        <w:rPr>
          <w:rFonts w:ascii="Times New Roman" w:hAnsi="Times New Roman" w:cs="Times New Roman"/>
          <w:sz w:val="24"/>
          <w:szCs w:val="24"/>
        </w:rPr>
        <w:t xml:space="preserve"> Can. J. Biochem. Physiol 1959;37(8):911-17.</w:t>
      </w:r>
    </w:p>
    <w:p w:rsidR="00D45325" w:rsidRPr="00211D89" w:rsidRDefault="00D45325" w:rsidP="00D45325">
      <w:pPr>
        <w:pStyle w:val="EndNoteBibliography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6392B">
        <w:rPr>
          <w:rFonts w:ascii="Times New Roman" w:hAnsi="Times New Roman" w:cs="Times New Roman"/>
          <w:sz w:val="24"/>
          <w:szCs w:val="24"/>
          <w:lang w:val="fr-FR"/>
        </w:rPr>
        <w:t xml:space="preserve">Martin Agnoux A, Antignac JP, Desnots E, Ferchaud-Roucher V, Darmaun D, Parnet P, Alexandre-Gouabau MC. </w:t>
      </w:r>
      <w:r w:rsidRPr="00211D89">
        <w:rPr>
          <w:rFonts w:ascii="Times New Roman" w:hAnsi="Times New Roman" w:cs="Times New Roman"/>
          <w:sz w:val="24"/>
          <w:szCs w:val="24"/>
        </w:rPr>
        <w:t>Perinatal protein restriction effect on milk free amino acids and fatty acids profile in lactating rats and its potential role on growth and metabolic status of the pups</w:t>
      </w:r>
      <w:r w:rsidRPr="00211D89">
        <w:rPr>
          <w:rFonts w:ascii="Times New Roman" w:hAnsi="Times New Roman" w:cs="Times New Roman"/>
          <w:i/>
          <w:sz w:val="24"/>
          <w:szCs w:val="24"/>
        </w:rPr>
        <w:t>.</w:t>
      </w:r>
      <w:r w:rsidRPr="00211D89">
        <w:rPr>
          <w:rFonts w:ascii="Times New Roman" w:hAnsi="Times New Roman" w:cs="Times New Roman"/>
          <w:sz w:val="24"/>
          <w:szCs w:val="24"/>
        </w:rPr>
        <w:t xml:space="preserve"> J Nutr Biochem 2015 26(7):784-95.</w:t>
      </w:r>
    </w:p>
    <w:p w:rsidR="00D45325" w:rsidRPr="006716F4" w:rsidRDefault="00D45325" w:rsidP="002B6DD2">
      <w:pPr>
        <w:pStyle w:val="Paragraphedeliste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45325" w:rsidRPr="006716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170" w:rsidRDefault="005F3170" w:rsidP="00F64DD2">
      <w:pPr>
        <w:spacing w:after="0" w:line="240" w:lineRule="auto"/>
      </w:pPr>
      <w:r>
        <w:separator/>
      </w:r>
    </w:p>
  </w:endnote>
  <w:endnote w:type="continuationSeparator" w:id="0">
    <w:p w:rsidR="005F3170" w:rsidRDefault="005F3170" w:rsidP="00F64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170" w:rsidRDefault="005F3170" w:rsidP="00F64DD2">
      <w:pPr>
        <w:spacing w:after="0" w:line="240" w:lineRule="auto"/>
      </w:pPr>
      <w:r>
        <w:separator/>
      </w:r>
    </w:p>
  </w:footnote>
  <w:footnote w:type="continuationSeparator" w:id="0">
    <w:p w:rsidR="005F3170" w:rsidRDefault="005F3170" w:rsidP="00F64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DD2" w:rsidRPr="00F64DD2" w:rsidRDefault="00F64DD2">
    <w:pPr>
      <w:pStyle w:val="En-tte"/>
      <w:rPr>
        <w:rFonts w:ascii="Times New Roman" w:hAnsi="Times New Roman" w:cs="Times New Roman"/>
        <w:b/>
        <w:sz w:val="24"/>
        <w:szCs w:val="24"/>
      </w:rPr>
    </w:pPr>
    <w:r w:rsidRPr="00F64DD2">
      <w:rPr>
        <w:rFonts w:ascii="Times New Roman" w:hAnsi="Times New Roman" w:cs="Times New Roman"/>
        <w:b/>
        <w:sz w:val="24"/>
        <w:szCs w:val="24"/>
      </w:rPr>
      <w:t xml:space="preserve">On line </w:t>
    </w:r>
    <w:proofErr w:type="spellStart"/>
    <w:r w:rsidRPr="00F64DD2">
      <w:rPr>
        <w:rFonts w:ascii="Times New Roman" w:hAnsi="Times New Roman" w:cs="Times New Roman"/>
        <w:b/>
        <w:sz w:val="24"/>
        <w:szCs w:val="24"/>
      </w:rPr>
      <w:t>Supp</w:t>
    </w:r>
    <w:r>
      <w:rPr>
        <w:rFonts w:ascii="Times New Roman" w:hAnsi="Times New Roman" w:cs="Times New Roman"/>
        <w:b/>
        <w:sz w:val="24"/>
        <w:szCs w:val="24"/>
      </w:rPr>
      <w:t>orting</w:t>
    </w:r>
    <w:proofErr w:type="spellEnd"/>
    <w:r w:rsidRPr="00F64DD2">
      <w:rPr>
        <w:rFonts w:ascii="Times New Roman" w:hAnsi="Times New Roman" w:cs="Times New Roman"/>
        <w:b/>
        <w:sz w:val="24"/>
        <w:szCs w:val="24"/>
      </w:rPr>
      <w:t xml:space="preserve"> </w:t>
    </w:r>
    <w:proofErr w:type="spellStart"/>
    <w:r w:rsidRPr="00F64DD2">
      <w:rPr>
        <w:rFonts w:ascii="Times New Roman" w:hAnsi="Times New Roman" w:cs="Times New Roman"/>
        <w:b/>
        <w:sz w:val="24"/>
        <w:szCs w:val="24"/>
      </w:rPr>
      <w:t>Material</w:t>
    </w:r>
    <w:proofErr w:type="spellEnd"/>
  </w:p>
  <w:p w:rsidR="00F64DD2" w:rsidRDefault="00F64DD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3A29"/>
    <w:multiLevelType w:val="hybridMultilevel"/>
    <w:tmpl w:val="43349822"/>
    <w:lvl w:ilvl="0" w:tplc="D6AAC49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94FA1"/>
    <w:multiLevelType w:val="hybridMultilevel"/>
    <w:tmpl w:val="62DACA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126"/>
    <w:rsid w:val="00090834"/>
    <w:rsid w:val="00092E77"/>
    <w:rsid w:val="000A63B2"/>
    <w:rsid w:val="000F4EE9"/>
    <w:rsid w:val="00242F4D"/>
    <w:rsid w:val="002B6DD2"/>
    <w:rsid w:val="002E0F93"/>
    <w:rsid w:val="002E6F45"/>
    <w:rsid w:val="003D178B"/>
    <w:rsid w:val="00430F47"/>
    <w:rsid w:val="005F3170"/>
    <w:rsid w:val="006716F4"/>
    <w:rsid w:val="00864FA7"/>
    <w:rsid w:val="00877B96"/>
    <w:rsid w:val="008B1937"/>
    <w:rsid w:val="009231C3"/>
    <w:rsid w:val="00A13126"/>
    <w:rsid w:val="00AB374F"/>
    <w:rsid w:val="00B45AC9"/>
    <w:rsid w:val="00B4616F"/>
    <w:rsid w:val="00B74041"/>
    <w:rsid w:val="00B857EE"/>
    <w:rsid w:val="00D4159A"/>
    <w:rsid w:val="00D45325"/>
    <w:rsid w:val="00ED0EDD"/>
    <w:rsid w:val="00F6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2E6F4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E6F4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E6F45"/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2E6F45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E6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6F4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716F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64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4DD2"/>
  </w:style>
  <w:style w:type="paragraph" w:styleId="Pieddepage">
    <w:name w:val="footer"/>
    <w:basedOn w:val="Normal"/>
    <w:link w:val="PieddepageCar"/>
    <w:uiPriority w:val="99"/>
    <w:unhideWhenUsed/>
    <w:rsid w:val="00F64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4DD2"/>
  </w:style>
  <w:style w:type="paragraph" w:customStyle="1" w:styleId="EndNoteBibliography">
    <w:name w:val="EndNote Bibliography"/>
    <w:basedOn w:val="Normal"/>
    <w:link w:val="EndNoteBibliographyCar"/>
    <w:rsid w:val="00D45325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ar">
    <w:name w:val="EndNote Bibliography Car"/>
    <w:basedOn w:val="Policepardfaut"/>
    <w:link w:val="EndNoteBibliography"/>
    <w:rsid w:val="00D45325"/>
    <w:rPr>
      <w:rFonts w:ascii="Calibri" w:hAnsi="Calibri"/>
      <w:noProof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2E6F4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E6F4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E6F45"/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2E6F45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E6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6F4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716F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64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4DD2"/>
  </w:style>
  <w:style w:type="paragraph" w:styleId="Pieddepage">
    <w:name w:val="footer"/>
    <w:basedOn w:val="Normal"/>
    <w:link w:val="PieddepageCar"/>
    <w:uiPriority w:val="99"/>
    <w:unhideWhenUsed/>
    <w:rsid w:val="00F64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4DD2"/>
  </w:style>
  <w:style w:type="paragraph" w:customStyle="1" w:styleId="EndNoteBibliography">
    <w:name w:val="EndNote Bibliography"/>
    <w:basedOn w:val="Normal"/>
    <w:link w:val="EndNoteBibliographyCar"/>
    <w:rsid w:val="00D45325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ar">
    <w:name w:val="EndNote Bibliography Car"/>
    <w:basedOn w:val="Policepardfaut"/>
    <w:link w:val="EndNoteBibliography"/>
    <w:rsid w:val="00D45325"/>
    <w:rPr>
      <w:rFonts w:ascii="Calibri" w:hAnsi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1475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</dc:creator>
  <cp:lastModifiedBy>Alexandre</cp:lastModifiedBy>
  <cp:revision>2</cp:revision>
  <dcterms:created xsi:type="dcterms:W3CDTF">2017-12-04T15:25:00Z</dcterms:created>
  <dcterms:modified xsi:type="dcterms:W3CDTF">2017-12-04T15:25:00Z</dcterms:modified>
</cp:coreProperties>
</file>