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A09F4" w14:textId="5BD932B3" w:rsidR="00471609" w:rsidRDefault="00471609" w:rsidP="00471609">
      <w:pPr>
        <w:spacing w:after="0" w:line="480" w:lineRule="auto"/>
        <w:jc w:val="center"/>
        <w:rPr>
          <w:rFonts w:ascii="Arial" w:hAnsi="Arial" w:cs="Arial"/>
          <w:b/>
        </w:rPr>
      </w:pPr>
      <w:bookmarkStart w:id="0" w:name="_GoBack"/>
      <w:bookmarkEnd w:id="0"/>
      <w:r>
        <w:rPr>
          <w:rFonts w:ascii="Arial" w:hAnsi="Arial" w:cs="Arial"/>
          <w:b/>
        </w:rPr>
        <w:t xml:space="preserve">Gastauer et al. </w:t>
      </w:r>
      <w:r w:rsidRPr="00471609">
        <w:rPr>
          <w:rFonts w:ascii="Arial" w:hAnsi="Arial" w:cs="Arial"/>
          <w:b/>
          <w:highlight w:val="yellow"/>
        </w:rPr>
        <w:t>XXXX</w:t>
      </w:r>
      <w:r>
        <w:rPr>
          <w:rFonts w:ascii="Arial" w:hAnsi="Arial" w:cs="Arial"/>
          <w:b/>
        </w:rPr>
        <w:t>.</w:t>
      </w:r>
    </w:p>
    <w:p w14:paraId="72420F47" w14:textId="61D50771" w:rsidR="00471609" w:rsidRDefault="00471609" w:rsidP="00471609">
      <w:pPr>
        <w:spacing w:after="0" w:line="480" w:lineRule="auto"/>
        <w:jc w:val="center"/>
        <w:rPr>
          <w:rFonts w:ascii="Arial" w:hAnsi="Arial" w:cs="Arial"/>
          <w:b/>
        </w:rPr>
      </w:pPr>
      <w:r w:rsidRPr="00471609">
        <w:rPr>
          <w:rFonts w:ascii="Arial" w:hAnsi="Arial" w:cs="Arial"/>
          <w:b/>
        </w:rPr>
        <w:t xml:space="preserve">Integrating environmental variables by multivariate ordination enables the reliable estimation of </w:t>
      </w:r>
      <w:proofErr w:type="spellStart"/>
      <w:r w:rsidRPr="00471609">
        <w:rPr>
          <w:rFonts w:ascii="Arial" w:hAnsi="Arial" w:cs="Arial"/>
          <w:b/>
        </w:rPr>
        <w:t>mineland</w:t>
      </w:r>
      <w:proofErr w:type="spellEnd"/>
      <w:r w:rsidRPr="00471609">
        <w:rPr>
          <w:rFonts w:ascii="Arial" w:hAnsi="Arial" w:cs="Arial"/>
          <w:b/>
        </w:rPr>
        <w:t xml:space="preserve"> rehabilitation status</w:t>
      </w:r>
      <w:r>
        <w:rPr>
          <w:rFonts w:ascii="Arial" w:hAnsi="Arial" w:cs="Arial"/>
          <w:b/>
        </w:rPr>
        <w:t xml:space="preserve">. Journal of Environmental Management, </w:t>
      </w:r>
      <w:r w:rsidRPr="00471609">
        <w:rPr>
          <w:rFonts w:ascii="Arial" w:hAnsi="Arial" w:cs="Arial"/>
          <w:b/>
          <w:highlight w:val="yellow"/>
        </w:rPr>
        <w:t>XXX, XXX_XXX</w:t>
      </w:r>
      <w:r>
        <w:rPr>
          <w:rFonts w:ascii="Arial" w:hAnsi="Arial" w:cs="Arial"/>
          <w:b/>
        </w:rPr>
        <w:t>.</w:t>
      </w:r>
    </w:p>
    <w:p w14:paraId="79438376" w14:textId="77777777" w:rsidR="00471609" w:rsidRDefault="00471609" w:rsidP="00F521DD">
      <w:pPr>
        <w:spacing w:after="0" w:line="480" w:lineRule="auto"/>
        <w:jc w:val="both"/>
        <w:rPr>
          <w:rFonts w:ascii="Arial" w:hAnsi="Arial" w:cs="Arial"/>
          <w:b/>
        </w:rPr>
      </w:pPr>
    </w:p>
    <w:p w14:paraId="6EF2E9D1" w14:textId="28F5A184" w:rsidR="00F521DD" w:rsidRPr="00C75E8B" w:rsidRDefault="00F521DD" w:rsidP="00471609">
      <w:pPr>
        <w:spacing w:after="0" w:line="480" w:lineRule="auto"/>
        <w:jc w:val="center"/>
        <w:rPr>
          <w:rFonts w:ascii="Arial" w:hAnsi="Arial" w:cs="Arial"/>
          <w:b/>
        </w:rPr>
      </w:pPr>
      <w:r w:rsidRPr="00C75E8B">
        <w:rPr>
          <w:rFonts w:ascii="Arial" w:hAnsi="Arial" w:cs="Arial"/>
          <w:b/>
        </w:rPr>
        <w:t xml:space="preserve">Supplementary Material </w:t>
      </w:r>
      <w:r w:rsidR="00E52BE4">
        <w:rPr>
          <w:rFonts w:ascii="Arial" w:hAnsi="Arial" w:cs="Arial"/>
          <w:b/>
        </w:rPr>
        <w:t>1</w:t>
      </w:r>
    </w:p>
    <w:p w14:paraId="7800D88E" w14:textId="77777777" w:rsidR="00E52BE4" w:rsidRDefault="00E52BE4" w:rsidP="00E52BE4">
      <w:pPr>
        <w:spacing w:line="480" w:lineRule="auto"/>
        <w:jc w:val="center"/>
        <w:rPr>
          <w:rFonts w:ascii="Arial" w:hAnsi="Arial" w:cs="Arial"/>
        </w:rPr>
      </w:pPr>
      <w:r>
        <w:rPr>
          <w:rFonts w:ascii="Arial" w:hAnsi="Arial" w:cs="Arial"/>
          <w:noProof/>
          <w:lang w:val="pt-BR" w:eastAsia="pt-BR"/>
        </w:rPr>
        <w:drawing>
          <wp:inline distT="0" distB="0" distL="0" distR="0" wp14:anchorId="0C11A2A4" wp14:editId="1B99161E">
            <wp:extent cx="5147724" cy="33762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7637" cy="3382797"/>
                    </a:xfrm>
                    <a:prstGeom prst="rect">
                      <a:avLst/>
                    </a:prstGeom>
                    <a:noFill/>
                  </pic:spPr>
                </pic:pic>
              </a:graphicData>
            </a:graphic>
          </wp:inline>
        </w:drawing>
      </w:r>
    </w:p>
    <w:p w14:paraId="5380B380" w14:textId="77777777" w:rsidR="00F521DD" w:rsidRPr="00E52BE4" w:rsidRDefault="00E52BE4" w:rsidP="00E52BE4">
      <w:pPr>
        <w:spacing w:after="0" w:line="480" w:lineRule="auto"/>
        <w:jc w:val="both"/>
        <w:rPr>
          <w:rFonts w:ascii="Arial" w:hAnsi="Arial" w:cs="Arial"/>
        </w:rPr>
      </w:pPr>
      <w:r w:rsidRPr="00E52BE4">
        <w:rPr>
          <w:rFonts w:ascii="Arial" w:hAnsi="Arial" w:cs="Arial"/>
        </w:rPr>
        <w:t xml:space="preserve">Observed (markers), interpolated (continuous lines) and extrapolated species richness (dashed lines) for the woody (A) and the herbaceous community (B) from rehabilitating study sites surveyed in the </w:t>
      </w:r>
      <w:proofErr w:type="spellStart"/>
      <w:r w:rsidRPr="00E52BE4">
        <w:rPr>
          <w:rFonts w:ascii="Arial" w:hAnsi="Arial" w:cs="Arial"/>
        </w:rPr>
        <w:t>Urucum</w:t>
      </w:r>
      <w:proofErr w:type="spellEnd"/>
      <w:r w:rsidRPr="00E52BE4">
        <w:rPr>
          <w:rFonts w:ascii="Arial" w:hAnsi="Arial" w:cs="Arial"/>
        </w:rPr>
        <w:t xml:space="preserve"> Massif, </w:t>
      </w:r>
      <w:proofErr w:type="spellStart"/>
      <w:r w:rsidRPr="00E52BE4">
        <w:rPr>
          <w:rFonts w:ascii="Arial" w:hAnsi="Arial" w:cs="Arial"/>
        </w:rPr>
        <w:t>Mato</w:t>
      </w:r>
      <w:proofErr w:type="spellEnd"/>
      <w:r w:rsidRPr="00E52BE4">
        <w:rPr>
          <w:rFonts w:ascii="Arial" w:hAnsi="Arial" w:cs="Arial"/>
        </w:rPr>
        <w:t xml:space="preserve"> Grosso do </w:t>
      </w:r>
      <w:proofErr w:type="spellStart"/>
      <w:r w:rsidRPr="00E52BE4">
        <w:rPr>
          <w:rFonts w:ascii="Arial" w:hAnsi="Arial" w:cs="Arial"/>
        </w:rPr>
        <w:t>Sul</w:t>
      </w:r>
      <w:proofErr w:type="spellEnd"/>
      <w:r w:rsidRPr="00E52BE4">
        <w:rPr>
          <w:rFonts w:ascii="Arial" w:hAnsi="Arial" w:cs="Arial"/>
        </w:rPr>
        <w:t>, Brazil.</w:t>
      </w:r>
    </w:p>
    <w:p w14:paraId="0B730F58" w14:textId="77777777" w:rsidR="00F521DD" w:rsidRDefault="00F521DD">
      <w:pPr>
        <w:rPr>
          <w:rFonts w:ascii="Arial" w:hAnsi="Arial" w:cs="Arial"/>
          <w:b/>
        </w:rPr>
      </w:pPr>
      <w:r>
        <w:rPr>
          <w:rFonts w:ascii="Arial" w:hAnsi="Arial" w:cs="Arial"/>
          <w:b/>
        </w:rPr>
        <w:br w:type="page"/>
      </w:r>
    </w:p>
    <w:p w14:paraId="58204E47" w14:textId="77777777" w:rsidR="006A4263" w:rsidRDefault="0075083E" w:rsidP="00CC27E9">
      <w:pPr>
        <w:spacing w:after="0" w:line="480" w:lineRule="auto"/>
        <w:jc w:val="both"/>
        <w:rPr>
          <w:rFonts w:ascii="Arial" w:hAnsi="Arial" w:cs="Arial"/>
          <w:b/>
        </w:rPr>
      </w:pPr>
      <w:r>
        <w:rPr>
          <w:rFonts w:ascii="Arial" w:hAnsi="Arial" w:cs="Arial"/>
          <w:b/>
        </w:rPr>
        <w:lastRenderedPageBreak/>
        <w:t>S</w:t>
      </w:r>
      <w:r w:rsidR="006A4263">
        <w:rPr>
          <w:rFonts w:ascii="Arial" w:hAnsi="Arial" w:cs="Arial"/>
          <w:b/>
        </w:rPr>
        <w:t xml:space="preserve">upplementary Material </w:t>
      </w:r>
      <w:r w:rsidR="00F521DD">
        <w:rPr>
          <w:rFonts w:ascii="Arial" w:hAnsi="Arial" w:cs="Arial"/>
          <w:b/>
        </w:rPr>
        <w:t>2</w:t>
      </w:r>
      <w:r>
        <w:rPr>
          <w:rFonts w:ascii="Arial" w:hAnsi="Arial" w:cs="Arial"/>
          <w:b/>
        </w:rPr>
        <w:t xml:space="preserve"> </w:t>
      </w:r>
    </w:p>
    <w:p w14:paraId="6A67D32E" w14:textId="77777777" w:rsidR="00CC27E9" w:rsidRDefault="000D22A0" w:rsidP="00CC27E9">
      <w:pPr>
        <w:spacing w:after="0" w:line="480" w:lineRule="auto"/>
        <w:jc w:val="both"/>
        <w:rPr>
          <w:rFonts w:ascii="Arial" w:hAnsi="Arial" w:cs="Arial"/>
          <w:b/>
        </w:rPr>
      </w:pPr>
      <w:r>
        <w:rPr>
          <w:rFonts w:ascii="Arial" w:hAnsi="Arial" w:cs="Arial"/>
          <w:b/>
        </w:rPr>
        <w:t>Methodological details to obtain environmental variables</w:t>
      </w:r>
    </w:p>
    <w:p w14:paraId="2C1D804D" w14:textId="77777777" w:rsidR="000D22A0" w:rsidRPr="000D22A0" w:rsidRDefault="000D22A0" w:rsidP="000D22A0">
      <w:pPr>
        <w:spacing w:after="0" w:line="480" w:lineRule="auto"/>
        <w:jc w:val="both"/>
        <w:rPr>
          <w:rFonts w:ascii="Arial" w:hAnsi="Arial" w:cs="Arial"/>
          <w:i/>
        </w:rPr>
      </w:pPr>
      <w:r w:rsidRPr="000D22A0">
        <w:rPr>
          <w:rFonts w:ascii="Arial" w:hAnsi="Arial" w:cs="Arial"/>
          <w:i/>
        </w:rPr>
        <w:t>Field surveys</w:t>
      </w:r>
    </w:p>
    <w:p w14:paraId="02CFD5BB" w14:textId="77777777" w:rsidR="000D22A0" w:rsidRDefault="000D22A0" w:rsidP="000D22A0">
      <w:pPr>
        <w:spacing w:after="0" w:line="480" w:lineRule="auto"/>
        <w:jc w:val="both"/>
        <w:rPr>
          <w:rFonts w:ascii="Arial" w:hAnsi="Arial" w:cs="Arial"/>
        </w:rPr>
      </w:pPr>
      <w:r>
        <w:rPr>
          <w:rFonts w:ascii="Arial" w:hAnsi="Arial" w:cs="Arial"/>
        </w:rPr>
        <w:t>In each</w:t>
      </w:r>
      <w:r w:rsidRPr="009F2FFD">
        <w:rPr>
          <w:rFonts w:ascii="Arial" w:hAnsi="Arial" w:cs="Arial"/>
        </w:rPr>
        <w:t xml:space="preserve"> </w:t>
      </w:r>
      <w:r>
        <w:rPr>
          <w:rFonts w:ascii="Arial" w:hAnsi="Arial" w:cs="Arial"/>
        </w:rPr>
        <w:t xml:space="preserve">10x10m </w:t>
      </w:r>
      <w:r w:rsidRPr="009F2FFD">
        <w:rPr>
          <w:rFonts w:ascii="Arial" w:hAnsi="Arial" w:cs="Arial"/>
        </w:rPr>
        <w:t>plot, two different soil samples were collected.</w:t>
      </w:r>
      <w:r w:rsidR="00CD031F">
        <w:rPr>
          <w:rFonts w:ascii="Arial" w:hAnsi="Arial" w:cs="Arial"/>
        </w:rPr>
        <w:t xml:space="preserve"> For that, litter layers were removed from five evenly distributed sampling points in each plot.</w:t>
      </w:r>
      <w:r w:rsidRPr="009F2FFD">
        <w:rPr>
          <w:rFonts w:ascii="Arial" w:hAnsi="Arial" w:cs="Arial"/>
        </w:rPr>
        <w:t xml:space="preserve"> </w:t>
      </w:r>
      <w:r w:rsidR="00CD031F">
        <w:rPr>
          <w:rFonts w:ascii="Arial" w:hAnsi="Arial" w:cs="Arial"/>
        </w:rPr>
        <w:t>For metagenomics analysis, superficial soil samples (depth 0-2 cm) were mixed and stored in a fridge until arrival at the laboratory, where they were transferred to a freezer (-80° C). For the determination of organic carbon contents and the determination of biochemical soil attributes, a 10x10x10 cm block was removed from each sampling point with a hoe and mixed, before about 1 kg of the mixture was stored in a plastic bag and cooled until analysis.</w:t>
      </w:r>
    </w:p>
    <w:p w14:paraId="7A470C8B" w14:textId="77777777" w:rsidR="00CD031F" w:rsidRDefault="000D22A0" w:rsidP="000D22A0">
      <w:pPr>
        <w:spacing w:after="0" w:line="480" w:lineRule="auto"/>
        <w:jc w:val="both"/>
        <w:rPr>
          <w:rFonts w:ascii="Arial" w:hAnsi="Arial" w:cs="Arial"/>
        </w:rPr>
      </w:pPr>
      <w:r w:rsidRPr="009F2FFD">
        <w:rPr>
          <w:rFonts w:ascii="Arial" w:hAnsi="Arial" w:cs="Arial"/>
        </w:rPr>
        <w:t xml:space="preserve">Additionally, two vegetation surveys were carried out in each plot. First, all shrubs (woody community) within plots with </w:t>
      </w:r>
      <w:r w:rsidR="00440EB6">
        <w:rPr>
          <w:rFonts w:ascii="Arial" w:hAnsi="Arial" w:cs="Arial"/>
        </w:rPr>
        <w:t xml:space="preserve">a </w:t>
      </w:r>
      <w:r w:rsidRPr="009F2FFD">
        <w:rPr>
          <w:rFonts w:ascii="Arial" w:hAnsi="Arial" w:cs="Arial"/>
        </w:rPr>
        <w:t>diameter at soil level equal</w:t>
      </w:r>
      <w:r w:rsidR="00440EB6">
        <w:rPr>
          <w:rFonts w:ascii="Arial" w:hAnsi="Arial" w:cs="Arial"/>
        </w:rPr>
        <w:t xml:space="preserve"> to</w:t>
      </w:r>
      <w:r w:rsidRPr="009F2FFD">
        <w:rPr>
          <w:rFonts w:ascii="Arial" w:hAnsi="Arial" w:cs="Arial"/>
        </w:rPr>
        <w:t xml:space="preserve"> or larger than 3 cm were tagged and identified to species level. Second, herbaceous vegetation was sampled in four subplots of 1x1m situated at the vertices of each 10x10m plot. All species within subplots were identified to species level. Additionally, the vegetation cover was estimated as the horizontal projection of vegetation on </w:t>
      </w:r>
      <w:r w:rsidR="00440EB6">
        <w:rPr>
          <w:rFonts w:ascii="Arial" w:hAnsi="Arial" w:cs="Arial"/>
        </w:rPr>
        <w:t xml:space="preserve">the </w:t>
      </w:r>
      <w:r w:rsidRPr="009F2FFD">
        <w:rPr>
          <w:rFonts w:ascii="Arial" w:hAnsi="Arial" w:cs="Arial"/>
        </w:rPr>
        <w:t xml:space="preserve">soil surface. </w:t>
      </w:r>
    </w:p>
    <w:p w14:paraId="12B937BF" w14:textId="77777777" w:rsidR="000D22A0" w:rsidRPr="009F2FFD" w:rsidRDefault="000D22A0" w:rsidP="000D22A0">
      <w:pPr>
        <w:spacing w:after="0" w:line="480" w:lineRule="auto"/>
        <w:jc w:val="both"/>
        <w:rPr>
          <w:rFonts w:ascii="Arial" w:hAnsi="Arial" w:cs="Arial"/>
        </w:rPr>
      </w:pPr>
      <w:r w:rsidRPr="009F2FFD">
        <w:rPr>
          <w:rFonts w:ascii="Arial" w:hAnsi="Arial" w:cs="Arial"/>
        </w:rPr>
        <w:t>Species not recognized during field campaign were collected and identified by consultation of herbarium material. From these sampling, we retrieved different variables regarding ecological processes, vegetation structure</w:t>
      </w:r>
      <w:r w:rsidR="00440EB6">
        <w:rPr>
          <w:rFonts w:ascii="Arial" w:hAnsi="Arial" w:cs="Arial"/>
        </w:rPr>
        <w:t>,</w:t>
      </w:r>
      <w:r w:rsidRPr="009F2FFD">
        <w:rPr>
          <w:rFonts w:ascii="Arial" w:hAnsi="Arial" w:cs="Arial"/>
        </w:rPr>
        <w:t xml:space="preserve"> and diversity of reinstated communities to estimate the status of environmental rehabilitation for the seven rehabilitating sites. </w:t>
      </w:r>
    </w:p>
    <w:p w14:paraId="669C5F8B" w14:textId="77777777" w:rsidR="000D22A0" w:rsidRDefault="000D22A0" w:rsidP="00CC27E9">
      <w:pPr>
        <w:spacing w:after="0" w:line="480" w:lineRule="auto"/>
        <w:jc w:val="both"/>
        <w:rPr>
          <w:rFonts w:ascii="Arial" w:hAnsi="Arial" w:cs="Arial"/>
        </w:rPr>
      </w:pPr>
    </w:p>
    <w:p w14:paraId="180A4A70" w14:textId="77777777" w:rsidR="000D22A0" w:rsidRPr="00CD031F" w:rsidRDefault="00CD031F" w:rsidP="00CC27E9">
      <w:pPr>
        <w:spacing w:after="0" w:line="480" w:lineRule="auto"/>
        <w:jc w:val="both"/>
        <w:rPr>
          <w:rFonts w:ascii="Arial" w:hAnsi="Arial" w:cs="Arial"/>
          <w:i/>
        </w:rPr>
      </w:pPr>
      <w:r w:rsidRPr="00CD031F">
        <w:rPr>
          <w:rFonts w:ascii="Arial" w:hAnsi="Arial" w:cs="Arial"/>
          <w:i/>
        </w:rPr>
        <w:t>Biochemical soil attributes</w:t>
      </w:r>
    </w:p>
    <w:p w14:paraId="5DD67697" w14:textId="7ED35620" w:rsidR="00CC27E9" w:rsidRPr="009F2FFD" w:rsidRDefault="00CC27E9" w:rsidP="00CC27E9">
      <w:pPr>
        <w:spacing w:after="0" w:line="480" w:lineRule="auto"/>
        <w:jc w:val="both"/>
        <w:rPr>
          <w:rFonts w:ascii="Arial" w:hAnsi="Arial" w:cs="Arial"/>
        </w:rPr>
      </w:pPr>
      <w:r w:rsidRPr="009F2FFD">
        <w:rPr>
          <w:rFonts w:ascii="Arial" w:hAnsi="Arial" w:cs="Arial"/>
        </w:rPr>
        <w:t>Soil organic carbon content (</w:t>
      </w:r>
      <w:proofErr w:type="spellStart"/>
      <w:r w:rsidRPr="009F2FFD">
        <w:rPr>
          <w:rFonts w:ascii="Arial" w:hAnsi="Arial" w:cs="Arial"/>
        </w:rPr>
        <w:t>Corg</w:t>
      </w:r>
      <w:proofErr w:type="spellEnd"/>
      <w:r w:rsidRPr="009F2FFD">
        <w:rPr>
          <w:rFonts w:ascii="Arial" w:hAnsi="Arial" w:cs="Arial"/>
        </w:rPr>
        <w:t>) was determined by the potassium dichromate (K</w:t>
      </w:r>
      <w:r w:rsidRPr="009F2FFD">
        <w:rPr>
          <w:rFonts w:ascii="Arial" w:hAnsi="Arial" w:cs="Arial"/>
          <w:vertAlign w:val="subscript"/>
        </w:rPr>
        <w:t>2</w:t>
      </w:r>
      <w:r w:rsidRPr="009F2FFD">
        <w:rPr>
          <w:rFonts w:ascii="Arial" w:hAnsi="Arial" w:cs="Arial"/>
        </w:rPr>
        <w:t>Cr</w:t>
      </w:r>
      <w:r w:rsidRPr="009F2FFD">
        <w:rPr>
          <w:rFonts w:ascii="Arial" w:hAnsi="Arial" w:cs="Arial"/>
          <w:vertAlign w:val="subscript"/>
        </w:rPr>
        <w:t>2</w:t>
      </w:r>
      <w:r w:rsidRPr="009F2FFD">
        <w:rPr>
          <w:rFonts w:ascii="Arial" w:hAnsi="Arial" w:cs="Arial"/>
        </w:rPr>
        <w:t>O</w:t>
      </w:r>
      <w:r w:rsidRPr="009F2FFD">
        <w:rPr>
          <w:rFonts w:ascii="Arial" w:hAnsi="Arial" w:cs="Arial"/>
          <w:vertAlign w:val="subscript"/>
        </w:rPr>
        <w:t>7</w:t>
      </w:r>
      <w:r w:rsidRPr="009F2FFD">
        <w:rPr>
          <w:rFonts w:ascii="Arial" w:hAnsi="Arial" w:cs="Arial"/>
        </w:rPr>
        <w:t xml:space="preserve">) method </w:t>
      </w:r>
      <w:r w:rsidRPr="009F2FFD">
        <w:rPr>
          <w:rFonts w:ascii="Arial" w:hAnsi="Arial" w:cs="Arial"/>
        </w:rPr>
        <w:fldChar w:fldCharType="begin" w:fldLock="1"/>
      </w:r>
      <w:r w:rsidR="00A8006D">
        <w:rPr>
          <w:rFonts w:ascii="Arial" w:hAnsi="Arial" w:cs="Arial"/>
        </w:rPr>
        <w:instrText>ADDIN CSL_CITATION {"citationItems":[{"id":"ITEM-1","itemData":{"author":[{"dropping-particle":"","family":"Silva","given":"F.C.","non-dropping-particle":"","parse-names":false,"suffix":""}],"id":"ITEM-1","issued":{"date-parts":[["2009"]]},"publisher":"Embrapa Solos","publisher-place":"Rio de Janeiro","title":"Manual de análises químicas de solos, plantas e fertilizantes","type":"book"},"uris":["http://www.mendeley.com/documents/?uuid=64574339-46bc-4404-841b-78537819c18e"]}],"mendeley":{"formattedCitation":"(Silva 2009)","plainTextFormattedCitation":"(Silva 2009)","previouslyFormattedCitation":"(Silva 2009)"},"properties":{"noteIndex":0},"schema":"https://github.com/citation-style-language/schema/raw/master/csl-citation.json"}</w:instrText>
      </w:r>
      <w:r w:rsidRPr="009F2FFD">
        <w:rPr>
          <w:rFonts w:ascii="Arial" w:hAnsi="Arial" w:cs="Arial"/>
        </w:rPr>
        <w:fldChar w:fldCharType="separate"/>
      </w:r>
      <w:bookmarkStart w:id="1" w:name="__Fieldmark__590_2580851028"/>
      <w:bookmarkStart w:id="2" w:name="__Fieldmark__269_3437287712"/>
      <w:bookmarkStart w:id="3" w:name="__Fieldmark__2756_2885770120"/>
      <w:bookmarkStart w:id="4" w:name="__Fieldmark__9629_2364063745"/>
      <w:r w:rsidR="004373E3" w:rsidRPr="004373E3">
        <w:rPr>
          <w:rFonts w:ascii="Arial" w:hAnsi="Arial" w:cs="Arial"/>
          <w:noProof/>
        </w:rPr>
        <w:t>(Silva 2009)</w:t>
      </w:r>
      <w:r w:rsidRPr="009F2FFD">
        <w:rPr>
          <w:rFonts w:ascii="Arial" w:hAnsi="Arial" w:cs="Arial"/>
        </w:rPr>
        <w:fldChar w:fldCharType="end"/>
      </w:r>
      <w:bookmarkEnd w:id="1"/>
      <w:bookmarkEnd w:id="2"/>
      <w:bookmarkEnd w:id="3"/>
      <w:bookmarkEnd w:id="4"/>
      <w:r w:rsidRPr="009F2FFD">
        <w:rPr>
          <w:rFonts w:ascii="Arial" w:hAnsi="Arial" w:cs="Arial"/>
        </w:rPr>
        <w:t>. Soil basal respiration (Respiration) was estimated by CO</w:t>
      </w:r>
      <w:r w:rsidRPr="009F2FFD">
        <w:rPr>
          <w:rFonts w:ascii="Arial" w:hAnsi="Arial" w:cs="Arial"/>
          <w:vertAlign w:val="subscript"/>
        </w:rPr>
        <w:t>2</w:t>
      </w:r>
      <w:r w:rsidRPr="009F2FFD">
        <w:rPr>
          <w:rFonts w:ascii="Arial" w:hAnsi="Arial" w:cs="Arial"/>
        </w:rPr>
        <w:t xml:space="preserve"> release from soil samples incubated with 0.05 </w:t>
      </w:r>
      <w:proofErr w:type="spellStart"/>
      <w:r w:rsidRPr="009F2FFD">
        <w:rPr>
          <w:rFonts w:ascii="Arial" w:hAnsi="Arial" w:cs="Arial"/>
        </w:rPr>
        <w:t>mol</w:t>
      </w:r>
      <w:proofErr w:type="spellEnd"/>
      <w:r w:rsidRPr="009F2FFD">
        <w:rPr>
          <w:rFonts w:ascii="Arial" w:hAnsi="Arial" w:cs="Arial"/>
        </w:rPr>
        <w:t xml:space="preserve"> L</w:t>
      </w:r>
      <w:r w:rsidRPr="009F2FFD">
        <w:rPr>
          <w:rFonts w:ascii="Arial" w:hAnsi="Arial" w:cs="Arial"/>
          <w:vertAlign w:val="superscript"/>
        </w:rPr>
        <w:t>-1</w:t>
      </w:r>
      <w:r w:rsidRPr="009F2FFD">
        <w:rPr>
          <w:rFonts w:ascii="Arial" w:hAnsi="Arial" w:cs="Arial"/>
        </w:rPr>
        <w:t xml:space="preserve"> </w:t>
      </w:r>
      <w:proofErr w:type="spellStart"/>
      <w:r w:rsidRPr="009F2FFD">
        <w:rPr>
          <w:rFonts w:ascii="Arial" w:hAnsi="Arial" w:cs="Arial"/>
        </w:rPr>
        <w:t>NaOH</w:t>
      </w:r>
      <w:proofErr w:type="spellEnd"/>
      <w:r w:rsidRPr="009F2FFD">
        <w:rPr>
          <w:rFonts w:ascii="Arial" w:hAnsi="Arial" w:cs="Arial"/>
        </w:rPr>
        <w:t xml:space="preserve"> for three days </w:t>
      </w:r>
      <w:r w:rsidRPr="009F2FFD">
        <w:rPr>
          <w:rFonts w:ascii="Arial" w:hAnsi="Arial" w:cs="Arial"/>
        </w:rPr>
        <w:fldChar w:fldCharType="begin" w:fldLock="1"/>
      </w:r>
      <w:r w:rsidR="00A8006D">
        <w:rPr>
          <w:rFonts w:ascii="Arial" w:hAnsi="Arial" w:cs="Arial"/>
        </w:rPr>
        <w:instrText>ADDIN CSL_CITATION {"citationItems":[{"id":"ITEM-1","itemData":{"DOI":"https://doi.org/10.1016/B978-012513840-6/50020-3","ISBN":"978-0-12-513840-6","editor":[{"dropping-particle":"","family":"Alef","given":"Kassem","non-dropping-particle":"","parse-names":false,"suffix":""},{"dropping-particle":"","family":"Nannipieri","given":"Paolo B T - Methods in Applied Soil Microbiology and Biochemistry","non-dropping-particle":"","parse-names":false,"suffix":""}],"id":"ITEM-1","issued":{"date-parts":[["1995"]]},"page":"193-270","publisher":"Academic Press","publisher-place":"London","title":"5 - Estimation of microbial activities","type":"chapter"},"uris":["http://www.mendeley.com/documents/?uuid=85b5bab2-2b62-45eb-9c24-60396029b599","http://www.mendeley.com/documents/?uuid=70adc0ab-002f-4958-8e83-87b48352b62b"]}],"mendeley":{"formattedCitation":"(Alef &amp; Nannipieri 1995)","plainTextFormattedCitation":"(Alef &amp; Nannipieri 1995)","previouslyFormattedCitation":"(Alef &amp; Nannipieri 1995)"},"properties":{"noteIndex":0},"schema":"https://github.com/citation-style-language/schema/raw/master/csl-citation.json"}</w:instrText>
      </w:r>
      <w:r w:rsidRPr="009F2FFD">
        <w:rPr>
          <w:rFonts w:ascii="Arial" w:hAnsi="Arial" w:cs="Arial"/>
        </w:rPr>
        <w:fldChar w:fldCharType="separate"/>
      </w:r>
      <w:bookmarkStart w:id="5" w:name="__Fieldmark__613_2580851028"/>
      <w:bookmarkStart w:id="6" w:name="__Fieldmark__284_3437287712"/>
      <w:bookmarkStart w:id="7" w:name="__Fieldmark__2771_2885770120"/>
      <w:bookmarkStart w:id="8" w:name="__Fieldmark__9645_2364063745"/>
      <w:r w:rsidR="004373E3" w:rsidRPr="004373E3">
        <w:rPr>
          <w:rFonts w:ascii="Arial" w:hAnsi="Arial" w:cs="Arial"/>
          <w:noProof/>
        </w:rPr>
        <w:t>(Alef &amp; Nannipieri 1995)</w:t>
      </w:r>
      <w:r w:rsidRPr="009F2FFD">
        <w:rPr>
          <w:rFonts w:ascii="Arial" w:hAnsi="Arial" w:cs="Arial"/>
        </w:rPr>
        <w:fldChar w:fldCharType="end"/>
      </w:r>
      <w:bookmarkEnd w:id="5"/>
      <w:bookmarkEnd w:id="6"/>
      <w:bookmarkEnd w:id="7"/>
      <w:bookmarkEnd w:id="8"/>
      <w:r w:rsidRPr="009F2FFD">
        <w:rPr>
          <w:rFonts w:ascii="Arial" w:hAnsi="Arial" w:cs="Arial"/>
        </w:rPr>
        <w:t xml:space="preserve">. Carbon (C-BM) and microbial </w:t>
      </w:r>
      <w:r w:rsidR="00440EB6" w:rsidRPr="009F2FFD">
        <w:rPr>
          <w:rFonts w:ascii="Arial" w:hAnsi="Arial" w:cs="Arial"/>
        </w:rPr>
        <w:t xml:space="preserve">nitrogen </w:t>
      </w:r>
      <w:r w:rsidRPr="009F2FFD">
        <w:rPr>
          <w:rFonts w:ascii="Arial" w:hAnsi="Arial" w:cs="Arial"/>
        </w:rPr>
        <w:t xml:space="preserve">biomass (N-BM) were determined by the fumigation-extraction method </w:t>
      </w:r>
      <w:r w:rsidRPr="009F2FFD">
        <w:rPr>
          <w:rFonts w:ascii="Arial" w:hAnsi="Arial" w:cs="Arial"/>
        </w:rPr>
        <w:fldChar w:fldCharType="begin" w:fldLock="1"/>
      </w:r>
      <w:r w:rsidR="00A8006D">
        <w:rPr>
          <w:rFonts w:ascii="Arial" w:hAnsi="Arial" w:cs="Arial"/>
        </w:rPr>
        <w:instrText>ADDIN CSL_CITATION {"citationItems":[{"id":"ITEM-1","itemData":{"DOI":"https://doi.org/10.1016/0038-0717(87)90052-6","ISSN":"0038-0717","author":[{"dropping-particle":"","family":"Vance","given":"E D","non-dropping-particle":"","parse-names":false,"suffix":""},{"dropping-particle":"","family":"Brookes","given":"P C","non-dropping-particle":"","parse-names":false,"suffix":""},{"dropping-particle":"","family":"Jenkinson","given":"D S","non-dropping-particle":"","parse-names":false,"suffix":""}],"container-title":"Soil Biology and Biochemistry","id":"ITEM-1","issue":"6","issued":{"date-parts":[["1987"]]},"page":"703-707","title":"An extraction method for measuring soil microbial biomass C","type":"article-journal","volume":"19"},"uris":["http://www.mendeley.com/documents/?uuid=75d367b3-2086-479f-abe8-f8bcc3bbb16c","http://www.mendeley.com/documents/?uuid=758883cd-5218-466e-b3d9-7fd7a1b469de"]}],"mendeley":{"formattedCitation":"(Vance et al. 1987)","plainTextFormattedCitation":"(Vance et al. 1987)","previouslyFormattedCitation":"(Vance et al. 1987)"},"properties":{"noteIndex":0},"schema":"https://github.com/citation-style-language/schema/raw/master/csl-citation.json"}</w:instrText>
      </w:r>
      <w:r w:rsidRPr="009F2FFD">
        <w:rPr>
          <w:rFonts w:ascii="Arial" w:hAnsi="Arial" w:cs="Arial"/>
        </w:rPr>
        <w:fldChar w:fldCharType="separate"/>
      </w:r>
      <w:bookmarkStart w:id="9" w:name="__Fieldmark__628_2580851028"/>
      <w:bookmarkStart w:id="10" w:name="__Fieldmark__295_3437287712"/>
      <w:bookmarkStart w:id="11" w:name="__Fieldmark__2778_2885770120"/>
      <w:bookmarkStart w:id="12" w:name="__Fieldmark__9658_2364063745"/>
      <w:r w:rsidR="004373E3" w:rsidRPr="004373E3">
        <w:rPr>
          <w:rFonts w:ascii="Arial" w:hAnsi="Arial" w:cs="Arial"/>
          <w:noProof/>
        </w:rPr>
        <w:t>(Vance et al. 1987)</w:t>
      </w:r>
      <w:r w:rsidRPr="009F2FFD">
        <w:rPr>
          <w:rFonts w:ascii="Arial" w:hAnsi="Arial" w:cs="Arial"/>
        </w:rPr>
        <w:fldChar w:fldCharType="end"/>
      </w:r>
      <w:bookmarkEnd w:id="9"/>
      <w:bookmarkEnd w:id="10"/>
      <w:bookmarkEnd w:id="11"/>
      <w:bookmarkEnd w:id="12"/>
      <w:r w:rsidRPr="009F2FFD">
        <w:rPr>
          <w:rFonts w:ascii="Arial" w:hAnsi="Arial" w:cs="Arial"/>
        </w:rPr>
        <w:t xml:space="preserve">. The metabolic quotient (qCO2) was obtained by the ratio between basal respiration and microbial biomass carbon </w:t>
      </w:r>
      <w:r w:rsidRPr="009F2FFD">
        <w:rPr>
          <w:rFonts w:ascii="Arial" w:hAnsi="Arial" w:cs="Arial"/>
        </w:rPr>
        <w:fldChar w:fldCharType="begin" w:fldLock="1"/>
      </w:r>
      <w:r w:rsidR="00A8006D">
        <w:rPr>
          <w:rFonts w:ascii="Arial" w:hAnsi="Arial" w:cs="Arial"/>
        </w:rPr>
        <w:instrText>ADDIN CSL_CITATION {"citationItems":[{"id":"ITEM-1","itemData":{"DOI":"https://doi.org/10.1016/0038-0717(93)90140-7","ISSN":"0038-0717","author":[{"dropping-particle":"","family":"Anderson","given":"Traute-Heidi","non-dropping-particle":"","parse-names":false,"suffix":""},{"dropping-particle":"","family":"Domsch","given":"K H","non-dropping-particle":"","parse-names":false,"suffix":""}],"container-title":"Soil Biology and Biochemistry","id":"ITEM-1","issue":"3","issued":{"date-parts":[["1993"]]},"page":"393-395","title":"The metabolic quotient for CO2 (qCO2) as a specific activity parameter to assess the effects of environmental conditions, such as ph, on the microbial biomass of forest soils","type":"article-journal","volume":"25"},"uris":["http://www.mendeley.com/documents/?uuid=7a89c3a3-1d78-4f10-b74a-dd298425192e","http://www.mendeley.com/documents/?uuid=f4feed29-f374-4522-9b55-a1f0ab2ec4f4"]}],"mendeley":{"formattedCitation":"(Anderson &amp; Domsch 1993)","plainTextFormattedCitation":"(Anderson &amp; Domsch 1993)","previouslyFormattedCitation":"(Anderson &amp; Domsch 1993)"},"properties":{"noteIndex":0},"schema":"https://github.com/citation-style-language/schema/raw/master/csl-citation.json"}</w:instrText>
      </w:r>
      <w:r w:rsidRPr="009F2FFD">
        <w:rPr>
          <w:rFonts w:ascii="Arial" w:hAnsi="Arial" w:cs="Arial"/>
        </w:rPr>
        <w:fldChar w:fldCharType="separate"/>
      </w:r>
      <w:bookmarkStart w:id="13" w:name="__Fieldmark__643_2580851028"/>
      <w:bookmarkStart w:id="14" w:name="__Fieldmark__306_3437287712"/>
      <w:bookmarkStart w:id="15" w:name="__Fieldmark__2785_2885770120"/>
      <w:bookmarkStart w:id="16" w:name="__Fieldmark__9664_2364063745"/>
      <w:r w:rsidR="004373E3" w:rsidRPr="004373E3">
        <w:rPr>
          <w:rFonts w:ascii="Arial" w:hAnsi="Arial" w:cs="Arial"/>
          <w:noProof/>
        </w:rPr>
        <w:t>(Anderson &amp; Domsch 1993)</w:t>
      </w:r>
      <w:r w:rsidRPr="009F2FFD">
        <w:rPr>
          <w:rFonts w:ascii="Arial" w:hAnsi="Arial" w:cs="Arial"/>
        </w:rPr>
        <w:fldChar w:fldCharType="end"/>
      </w:r>
      <w:bookmarkEnd w:id="13"/>
      <w:bookmarkEnd w:id="14"/>
      <w:bookmarkEnd w:id="15"/>
      <w:bookmarkEnd w:id="16"/>
      <w:r w:rsidRPr="009F2FFD">
        <w:rPr>
          <w:rFonts w:ascii="Arial" w:hAnsi="Arial" w:cs="Arial"/>
        </w:rPr>
        <w:t xml:space="preserve">. Two </w:t>
      </w:r>
      <w:proofErr w:type="spellStart"/>
      <w:r w:rsidRPr="009F2FFD">
        <w:rPr>
          <w:rFonts w:ascii="Arial" w:hAnsi="Arial" w:cs="Arial"/>
        </w:rPr>
        <w:t>glomalin</w:t>
      </w:r>
      <w:proofErr w:type="spellEnd"/>
      <w:r w:rsidRPr="009F2FFD">
        <w:rPr>
          <w:rFonts w:ascii="Arial" w:hAnsi="Arial" w:cs="Arial"/>
        </w:rPr>
        <w:t xml:space="preserve"> fractions, easily extractable (EEG) and total </w:t>
      </w:r>
      <w:proofErr w:type="spellStart"/>
      <w:r w:rsidRPr="009F2FFD">
        <w:rPr>
          <w:rFonts w:ascii="Arial" w:hAnsi="Arial" w:cs="Arial"/>
        </w:rPr>
        <w:t>glomalin</w:t>
      </w:r>
      <w:proofErr w:type="spellEnd"/>
      <w:r w:rsidRPr="009F2FFD">
        <w:rPr>
          <w:rFonts w:ascii="Arial" w:hAnsi="Arial" w:cs="Arial"/>
        </w:rPr>
        <w:t xml:space="preserve"> (TG), were quantified </w:t>
      </w:r>
      <w:r w:rsidRPr="009F2FFD">
        <w:rPr>
          <w:rFonts w:ascii="Arial" w:hAnsi="Arial" w:cs="Arial"/>
        </w:rPr>
        <w:fldChar w:fldCharType="begin" w:fldLock="1"/>
      </w:r>
      <w:r w:rsidR="00A8006D">
        <w:rPr>
          <w:rFonts w:ascii="Arial" w:hAnsi="Arial" w:cs="Arial"/>
        </w:rPr>
        <w:instrText>ADDIN CSL_CITATION {"citationItems":[{"id":"ITEM-1","itemData":{"DOI":"10.1023/A:1004347701584","ISSN":"1573-5036","abstract":"Understanding the contributions of soil microorganisms to soil stabilization at the molecular level will lead to ways to enhance inputs for sustainable agricultural systems. Recent discoveries of copious production of glycoprotein (glomalin) by arbuscular mycorrhizal (AM) fungi and the apparent recalcitrance of this material in soils led to the comparison between concentration of glomalin and aggregate stability. Stability was measured on air-dried aggregates rewetted by capillary action and then subjected to wet sieving for 10 min. Thirty-seven samples from four geographic areas of the U.S. and one area of Scotland were tested. The monoclonal antibody used to discover glomalin on AM hyphae was employed to assess immunoreactive glomalin on aggregate surfaces by immunofluorescence and in extracts from aggregates by enzyme-linked immunosorbent assay (ELISA). Immunofluorescence was observed on at least some surfaces of aggregates from all soils examined, but was most evident on aggregates with high glomalin concentrations. Easily extractable glomalin (EEG) was solubilized by 20 mM citrate, pH 7.0 at 121 °C for 30 min, and total glomalin (TG) was solubilized with 50 mM citrate, pH 8.0 at 121 °C for 90 to 450 min. Some soils required up to seven sequential extractions to remove all of the glomalin. Aggregate stability was linearly correlated (p &lt; 0.001) with all measures of glomalin (mg/g of aggregates) in these soils. The best predictor of aggregate stability (AS) was immunoreactive easily extractable glomalin (IREEG) according to the following relationship: AS = 42.7 +61.3 × log10 IREEG (r2 = 0.86; p &lt;0.001, n = 37).","author":[{"dropping-particle":"","family":"Wright","given":"S F","non-dropping-particle":"","parse-names":false,"suffix":""},{"dropping-particle":"","family":"Upadhyaya","given":"A","non-dropping-particle":"","parse-names":false,"suffix":""}],"container-title":"Plant and Soil","id":"ITEM-1","issue":"1","issued":{"date-parts":[["1998"]]},"page":"97-107","title":"A survey of soils for aggregate stability and glomalin, a glycoprotein produced by hyphae of arbuscular mycorrhizal fungi","type":"article-journal","volume":"198"},"uris":["http://www.mendeley.com/documents/?uuid=c7716d84-72d0-4679-abef-e4c1d0c47196","http://www.mendeley.com/documents/?uuid=4a7dc11f-c952-40d9-b7ea-174d74b3b4b9"]}],"mendeley":{"formattedCitation":"(Wright &amp; Upadhyaya 1998)","plainTextFormattedCitation":"(Wright &amp; Upadhyaya 1998)","previouslyFormattedCitation":"(Wright &amp; Upadhyaya 1998)"},"properties":{"noteIndex":0},"schema":"https://github.com/citation-style-language/schema/raw/master/csl-citation.json"}</w:instrText>
      </w:r>
      <w:r w:rsidRPr="009F2FFD">
        <w:rPr>
          <w:rFonts w:ascii="Arial" w:hAnsi="Arial" w:cs="Arial"/>
        </w:rPr>
        <w:fldChar w:fldCharType="separate"/>
      </w:r>
      <w:bookmarkStart w:id="17" w:name="__Fieldmark__662_2580851028"/>
      <w:bookmarkStart w:id="18" w:name="__Fieldmark__317_3437287712"/>
      <w:bookmarkStart w:id="19" w:name="__Fieldmark__2796_2885770120"/>
      <w:bookmarkStart w:id="20" w:name="__Fieldmark__9686_2364063745"/>
      <w:r w:rsidR="004373E3" w:rsidRPr="004373E3">
        <w:rPr>
          <w:rFonts w:ascii="Arial" w:hAnsi="Arial" w:cs="Arial"/>
          <w:noProof/>
        </w:rPr>
        <w:t>(Wright &amp; Upadhyaya 1998)</w:t>
      </w:r>
      <w:r w:rsidRPr="009F2FFD">
        <w:rPr>
          <w:rFonts w:ascii="Arial" w:hAnsi="Arial" w:cs="Arial"/>
        </w:rPr>
        <w:fldChar w:fldCharType="end"/>
      </w:r>
      <w:bookmarkEnd w:id="17"/>
      <w:bookmarkEnd w:id="18"/>
      <w:bookmarkEnd w:id="19"/>
      <w:bookmarkEnd w:id="20"/>
      <w:r w:rsidRPr="009F2FFD">
        <w:rPr>
          <w:rFonts w:ascii="Arial" w:hAnsi="Arial" w:cs="Arial"/>
        </w:rPr>
        <w:t xml:space="preserve">. The urease activity was quantified by the amount of ammonia released after incubation of </w:t>
      </w:r>
      <w:r w:rsidRPr="009F2FFD">
        <w:rPr>
          <w:rFonts w:ascii="Arial" w:hAnsi="Arial" w:cs="Arial"/>
        </w:rPr>
        <w:lastRenderedPageBreak/>
        <w:t xml:space="preserve">the soil with </w:t>
      </w:r>
      <w:r w:rsidR="00440EB6">
        <w:rPr>
          <w:rFonts w:ascii="Arial" w:hAnsi="Arial" w:cs="Arial"/>
        </w:rPr>
        <w:t xml:space="preserve">a </w:t>
      </w:r>
      <w:r w:rsidRPr="009F2FFD">
        <w:rPr>
          <w:rFonts w:ascii="Arial" w:hAnsi="Arial" w:cs="Arial"/>
        </w:rPr>
        <w:t xml:space="preserve">urea solution for 2 h at 37°C </w:t>
      </w:r>
      <w:r w:rsidRPr="009F2FFD">
        <w:rPr>
          <w:rFonts w:ascii="Arial" w:hAnsi="Arial" w:cs="Arial"/>
        </w:rPr>
        <w:fldChar w:fldCharType="begin" w:fldLock="1"/>
      </w:r>
      <w:r w:rsidR="00A8006D">
        <w:rPr>
          <w:rFonts w:ascii="Arial" w:hAnsi="Arial" w:cs="Arial"/>
        </w:rPr>
        <w:instrText>ADDIN CSL_CITATION {"citationItems":[{"id":"ITEM-1","itemData":{"DOI":"https://doi.org/10.1016/0038-0717(72)90064-8","ISSN":"0038-0717","author":[{"dropping-particle":"","family":"Tabatabai","given":"M A","non-dropping-particle":"","parse-names":false,"suffix":""},{"dropping-particle":"","family":"Bremner","given":"J M","non-dropping-particle":"","parse-names":false,"suffix":""}],"container-title":"Soil Biology and Biochemistry","id":"ITEM-1","issue":"4","issued":{"date-parts":[["1972"]]},"page":"479-487","title":"Assay of urease activity in soils","type":"article-journal","volume":"4"},"uris":["http://www.mendeley.com/documents/?uuid=ba4cc229-6af5-4375-ad44-15843852d9d4","http://www.mendeley.com/documents/?uuid=abf9b27e-b3c1-4603-aa6f-6b7bbaf0e07c"]}],"mendeley":{"formattedCitation":"(Tabatabai &amp; Bremner 1972)","plainTextFormattedCitation":"(Tabatabai &amp; Bremner 1972)","previouslyFormattedCitation":"(Tabatabai &amp; Bremner 1972)"},"properties":{"noteIndex":0},"schema":"https://github.com/citation-style-language/schema/raw/master/csl-citation.json"}</w:instrText>
      </w:r>
      <w:r w:rsidRPr="009F2FFD">
        <w:rPr>
          <w:rFonts w:ascii="Arial" w:hAnsi="Arial" w:cs="Arial"/>
        </w:rPr>
        <w:fldChar w:fldCharType="separate"/>
      </w:r>
      <w:bookmarkStart w:id="21" w:name="__Fieldmark__677_2580851028"/>
      <w:bookmarkStart w:id="22" w:name="__Fieldmark__328_3437287712"/>
      <w:bookmarkStart w:id="23" w:name="__Fieldmark__2803_2885770120"/>
      <w:bookmarkStart w:id="24" w:name="__Fieldmark__9695_2364063745"/>
      <w:r w:rsidR="004373E3" w:rsidRPr="004373E3">
        <w:rPr>
          <w:rFonts w:ascii="Arial" w:hAnsi="Arial" w:cs="Arial"/>
          <w:noProof/>
        </w:rPr>
        <w:t>(Tabatabai &amp; Bremner 1972)</w:t>
      </w:r>
      <w:r w:rsidRPr="009F2FFD">
        <w:rPr>
          <w:rFonts w:ascii="Arial" w:hAnsi="Arial" w:cs="Arial"/>
        </w:rPr>
        <w:fldChar w:fldCharType="end"/>
      </w:r>
      <w:bookmarkEnd w:id="21"/>
      <w:bookmarkEnd w:id="22"/>
      <w:bookmarkEnd w:id="23"/>
      <w:bookmarkEnd w:id="24"/>
      <w:r w:rsidRPr="009F2FFD">
        <w:rPr>
          <w:rFonts w:ascii="Arial" w:hAnsi="Arial" w:cs="Arial"/>
        </w:rPr>
        <w:t>. The activity of the phosphatase, β-glucosida</w:t>
      </w:r>
      <w:r w:rsidR="00440EB6">
        <w:rPr>
          <w:rFonts w:ascii="Arial" w:hAnsi="Arial" w:cs="Arial"/>
        </w:rPr>
        <w:t>s</w:t>
      </w:r>
      <w:r w:rsidRPr="009F2FFD">
        <w:rPr>
          <w:rFonts w:ascii="Arial" w:hAnsi="Arial" w:cs="Arial"/>
        </w:rPr>
        <w:t xml:space="preserve">e, and the hydrolysis of the fluorescein diacetate (FDA) were quantified by spectrophotometry with </w:t>
      </w:r>
      <w:r w:rsidR="00440EB6">
        <w:rPr>
          <w:rFonts w:ascii="Arial" w:hAnsi="Arial" w:cs="Arial"/>
        </w:rPr>
        <w:t xml:space="preserve">a </w:t>
      </w:r>
      <w:r w:rsidRPr="009F2FFD">
        <w:rPr>
          <w:rFonts w:ascii="Arial" w:hAnsi="Arial" w:cs="Arial"/>
        </w:rPr>
        <w:t xml:space="preserve">wavelength of 490 and 410 nm </w:t>
      </w:r>
      <w:r w:rsidRPr="009F2FFD">
        <w:rPr>
          <w:rFonts w:ascii="Arial" w:hAnsi="Arial" w:cs="Arial"/>
        </w:rPr>
        <w:fldChar w:fldCharType="begin" w:fldLock="1"/>
      </w:r>
      <w:r w:rsidR="00A8006D">
        <w:rPr>
          <w:rFonts w:ascii="Arial" w:hAnsi="Arial" w:cs="Arial"/>
        </w:rPr>
        <w:instrText>ADDIN CSL_CITATION {"citationItems":[{"id":"ITEM-1","itemData":{"DOI":"10.2136/sssaspecpub49.c15","ISBN":"978-0-89118-944-2","author":[{"dropping-particle":"","family":"Dick","given":"Richard P","non-dropping-particle":"","parse-names":false,"suffix":""},{"dropping-particle":"","family":"Breakwell","given":"Donald P","non-dropping-particle":"","parse-names":false,"suffix":""},{"dropping-particle":"","family":"Turco","given":"Ronald F","non-dropping-particle":"","parse-names":false,"suffix":""}],"collection-title":"SSSA Special Publication SV  - 49","container-title":"Methods for Assessing Soil Quality","id":"ITEM-1","issued":{"date-parts":[["1996"]]},"language":"English","page":"247-271","publisher":"Soil Science Society of America","publisher-place":"Madison, WI","title":"Soil Enzyme Activities and Biodiversity Measurements as Integrative Microbiological Indicators","type":"chapter"},"uris":["http://www.mendeley.com/documents/?uuid=ec35a8b6-60cc-44fb-b21b-86a92f70c19a","http://www.mendeley.com/documents/?uuid=3d872385-a389-426a-9379-77fefea1d23f"]}],"mendeley":{"formattedCitation":"(Dick et al. 1996)","plainTextFormattedCitation":"(Dick et al. 1996)","previouslyFormattedCitation":"(Dick et al. 1996)"},"properties":{"noteIndex":0},"schema":"https://github.com/citation-style-language/schema/raw/master/csl-citation.json"}</w:instrText>
      </w:r>
      <w:r w:rsidRPr="009F2FFD">
        <w:rPr>
          <w:rFonts w:ascii="Arial" w:hAnsi="Arial" w:cs="Arial"/>
        </w:rPr>
        <w:fldChar w:fldCharType="separate"/>
      </w:r>
      <w:bookmarkStart w:id="25" w:name="__Fieldmark__696_2580851028"/>
      <w:bookmarkStart w:id="26" w:name="__Fieldmark__339_3437287712"/>
      <w:bookmarkStart w:id="27" w:name="__Fieldmark__2812_2885770120"/>
      <w:bookmarkStart w:id="28" w:name="__Fieldmark__9709_2364063745"/>
      <w:r w:rsidR="004373E3" w:rsidRPr="004373E3">
        <w:rPr>
          <w:rFonts w:ascii="Arial" w:hAnsi="Arial" w:cs="Arial"/>
          <w:noProof/>
        </w:rPr>
        <w:t>(Dick et al. 1996)</w:t>
      </w:r>
      <w:r w:rsidRPr="009F2FFD">
        <w:rPr>
          <w:rFonts w:ascii="Arial" w:hAnsi="Arial" w:cs="Arial"/>
        </w:rPr>
        <w:fldChar w:fldCharType="end"/>
      </w:r>
      <w:bookmarkEnd w:id="25"/>
      <w:bookmarkEnd w:id="26"/>
      <w:bookmarkEnd w:id="27"/>
      <w:bookmarkEnd w:id="28"/>
      <w:r w:rsidRPr="009F2FFD">
        <w:rPr>
          <w:rFonts w:ascii="Arial" w:hAnsi="Arial" w:cs="Arial"/>
        </w:rPr>
        <w:t xml:space="preserve">. </w:t>
      </w:r>
    </w:p>
    <w:p w14:paraId="079058C6" w14:textId="77777777" w:rsidR="00CC27E9" w:rsidRPr="009F2FFD" w:rsidRDefault="00CC27E9" w:rsidP="00CC27E9">
      <w:pPr>
        <w:spacing w:after="0" w:line="480" w:lineRule="auto"/>
        <w:jc w:val="both"/>
        <w:rPr>
          <w:rFonts w:ascii="Arial" w:hAnsi="Arial" w:cs="Arial"/>
        </w:rPr>
      </w:pPr>
    </w:p>
    <w:p w14:paraId="47AA5635" w14:textId="77777777" w:rsidR="00CC27E9" w:rsidRPr="000757FD" w:rsidRDefault="004373E3" w:rsidP="00CC27E9">
      <w:pPr>
        <w:spacing w:after="0" w:line="480" w:lineRule="auto"/>
        <w:jc w:val="both"/>
        <w:rPr>
          <w:rFonts w:ascii="Arial" w:hAnsi="Arial" w:cs="Arial"/>
          <w:i/>
        </w:rPr>
      </w:pPr>
      <w:r>
        <w:rPr>
          <w:rFonts w:ascii="Arial" w:hAnsi="Arial" w:cs="Arial"/>
          <w:i/>
        </w:rPr>
        <w:t>Variables from vegetation surveys</w:t>
      </w:r>
    </w:p>
    <w:p w14:paraId="6CBA0485" w14:textId="77777777" w:rsidR="00CC27E9" w:rsidRPr="009F2FFD" w:rsidRDefault="00CC27E9" w:rsidP="00CC27E9">
      <w:pPr>
        <w:spacing w:after="0" w:line="480" w:lineRule="auto"/>
        <w:jc w:val="both"/>
        <w:rPr>
          <w:rFonts w:ascii="Arial" w:hAnsi="Arial" w:cs="Arial"/>
        </w:rPr>
      </w:pPr>
      <w:r w:rsidRPr="009F2FFD">
        <w:rPr>
          <w:rFonts w:ascii="Arial" w:hAnsi="Arial" w:cs="Arial"/>
        </w:rPr>
        <w:t xml:space="preserve">For measures of vegetation structure, </w:t>
      </w:r>
      <w:r w:rsidR="004373E3">
        <w:rPr>
          <w:rFonts w:ascii="Arial" w:hAnsi="Arial" w:cs="Arial"/>
        </w:rPr>
        <w:t>tree density was</w:t>
      </w:r>
      <w:r w:rsidRPr="009F2FFD">
        <w:rPr>
          <w:rFonts w:ascii="Arial" w:hAnsi="Arial" w:cs="Arial"/>
        </w:rPr>
        <w:t xml:space="preserve"> the number of sampled trees per plot</w:t>
      </w:r>
      <w:r w:rsidR="004373E3">
        <w:rPr>
          <w:rFonts w:ascii="Arial" w:hAnsi="Arial" w:cs="Arial"/>
        </w:rPr>
        <w:t>. Basal area is the sum of basal area of all trees and shrubs within each plot.</w:t>
      </w:r>
      <w:r w:rsidRPr="009F2FFD">
        <w:rPr>
          <w:rFonts w:ascii="Arial" w:hAnsi="Arial" w:cs="Arial"/>
        </w:rPr>
        <w:t xml:space="preserve"> Vegetation cover is the mean cover value from all four 1x1m subplots</w:t>
      </w:r>
      <w:r>
        <w:rPr>
          <w:rFonts w:ascii="Arial" w:hAnsi="Arial" w:cs="Arial"/>
        </w:rPr>
        <w:t xml:space="preserve"> (herbaceous community)</w:t>
      </w:r>
      <w:r w:rsidRPr="009F2FFD">
        <w:rPr>
          <w:rFonts w:ascii="Arial" w:hAnsi="Arial" w:cs="Arial"/>
        </w:rPr>
        <w:t xml:space="preserve">. </w:t>
      </w:r>
    </w:p>
    <w:p w14:paraId="374C5748" w14:textId="77777777" w:rsidR="004373E3" w:rsidRPr="009F2FFD" w:rsidRDefault="004373E3" w:rsidP="004373E3">
      <w:pPr>
        <w:spacing w:after="0" w:line="480" w:lineRule="auto"/>
        <w:jc w:val="both"/>
        <w:rPr>
          <w:rFonts w:ascii="Arial" w:hAnsi="Arial" w:cs="Arial"/>
        </w:rPr>
      </w:pPr>
      <w:r w:rsidRPr="009F2FFD">
        <w:rPr>
          <w:rFonts w:ascii="Arial" w:hAnsi="Arial" w:cs="Arial"/>
        </w:rPr>
        <w:t xml:space="preserve">Dispersal syndromes and fruit characteristics (fleshy and dry) </w:t>
      </w:r>
      <w:r>
        <w:rPr>
          <w:rFonts w:ascii="Arial" w:hAnsi="Arial" w:cs="Arial"/>
        </w:rPr>
        <w:t xml:space="preserve">for each species </w:t>
      </w:r>
      <w:r w:rsidRPr="009F2FFD">
        <w:rPr>
          <w:rFonts w:ascii="Arial" w:hAnsi="Arial" w:cs="Arial"/>
        </w:rPr>
        <w:t xml:space="preserve">were gathered from literature and by herbarium comparison. AGB was computed from basal areas of all trees and shrubs surveyed in the woody community following </w:t>
      </w:r>
      <w:r w:rsidRPr="009F2FFD">
        <w:rPr>
          <w:rFonts w:ascii="Arial" w:hAnsi="Arial" w:cs="Arial"/>
        </w:rPr>
        <w:fldChar w:fldCharType="begin" w:fldLock="1"/>
      </w:r>
      <w:r w:rsidR="00A8006D">
        <w:rPr>
          <w:rFonts w:ascii="Arial" w:hAnsi="Arial" w:cs="Arial"/>
        </w:rPr>
        <w:instrText>ADDIN CSL_CITATION {"citationItems":[{"id":"ITEM-1","itemData":{"DOI":"10.1046/j.1365-2745.2003.00757.x","ISBN":"0022-0477","ISSN":"00220477","PMID":"19278218","abstract":"1 We estimated the dry, living, above-ground biomass (AGB) standing stock and its turnover in a 50-hectare forest plot located in moist tropical forest on Barro Colorado Island, Panama. The estimates were obtained using inventory data collected every 5 years from 1985 to 2000, including measurements of all trees ≥ 1 cm diameter. 2 Four different allometric regressions relating trunk diameter and height with AGB were compared. Based on the most consistent method, we estimated that the Barro Colorado forest holds 281 ± 20 Mg ha − 1 (1 Mg = 10 3 year − 1 kg) of AGB, lianas included. A third of the AGB is stored in trees larger than 70 cm in diameter. 3 Stand-level AGB increment (growth plus recruitment) was highest in the period 1985–90 (7.05 ± 0.32 Mg ha − 1 of multiple hectares) and smallest in the period 1990–95 (5.25 ± 0.26 Mg ha − 1 , mean ± 95% confidence limits based on samples year − 1 ), while AGB losses were similar during the three intervals (mean 5.43 ± 0.72 Mg ha − 1 year − 1 year − 1 ), decreased in 1990–95 year − 1 ). This resulted in significant differences in AGB change (defined as increment minus loss) among census intervals; including branchfalls, the AGB of Barro Colorado Island increased in 1985–90 (+0.82 ± 0.84 Mg ha − 1 ( − 0.69 ± 0.82 Mg ha − 1 year − 1 ). The 15-year average was +0.20 Mg ha − 1 that spanned zero ( − 0.68 to 0.63 Mg ha − 1 year − 1 , but with a confidence interval to the AGB loss. About 5% ). 4 Branchfalls and partial breakage of stems had a significant influence on the AGB changes. They contributed an average of 0.46 Mg ha − 1 year − 1 of AGB increment was due to trees less than 10 cm in diameter. 5 To test whether the AGB of tropical forests is increasing due to climate change, we propose that in each forest type, at least 10 hectares of forest be inventoried, and that measurements of the small classes (&lt; 10 cm diameter) as well as large size classes be included. Biomass loss due to crown damage should also be estimated. ","author":[{"dropping-particle":"","family":"Chave","given":"Jérôme","non-dropping-particle":"","parse-names":false,"suffix":""},{"dropping-particle":"","family":"Condit","given":"Richard","non-dropping-particle":"","parse-names":false,"suffix":""},{"dropping-particle":"","family":"Lao","given":"Suzzane","non-dropping-particle":"","parse-names":false,"suffix":""},{"dropping-particle":"","family":"Caspersen","given":"John P","non-dropping-particle":"","parse-names":false,"suffix":""},{"dropping-particle":"","family":"Foster","given":"Robin B","non-dropping-particle":"","parse-names":false,"suffix":""},{"dropping-particle":"","family":"Hubbell","given":"Stephen P","non-dropping-particle":"","parse-names":false,"suffix":""}],"container-title":"2003","id":"ITEM-1","issued":{"date-parts":[["2003"]]},"page":"240-252","title":"Spatial and temporal variation of biomass in a tropical\\rforest: results from a large census plot in Panama","type":"article-journal","volume":"91"},"uris":["http://www.mendeley.com/documents/?uuid=ea5fb9bb-9108-4259-a27f-6c2657762ce0"]}],"mendeley":{"formattedCitation":"(Chave et al. 2003)","manualFormatting":"Chave et al. (2003)","plainTextFormattedCitation":"(Chave et al. 2003)","previouslyFormattedCitation":"(Chave et al. 2003)"},"properties":{"noteIndex":0},"schema":"https://github.com/citation-style-language/schema/raw/master/csl-citation.json"}</w:instrText>
      </w:r>
      <w:r w:rsidRPr="009F2FFD">
        <w:rPr>
          <w:rFonts w:ascii="Arial" w:hAnsi="Arial" w:cs="Arial"/>
        </w:rPr>
        <w:fldChar w:fldCharType="separate"/>
      </w:r>
      <w:bookmarkStart w:id="29" w:name="__Fieldmark__713_2580851028"/>
      <w:r w:rsidRPr="009F2FFD">
        <w:rPr>
          <w:rFonts w:ascii="Arial" w:hAnsi="Arial" w:cs="Arial"/>
          <w:noProof/>
        </w:rPr>
        <w:t>C</w:t>
      </w:r>
      <w:bookmarkStart w:id="30" w:name="__Fieldmark__352_3437287712"/>
      <w:r w:rsidRPr="009F2FFD">
        <w:rPr>
          <w:rFonts w:ascii="Arial" w:hAnsi="Arial" w:cs="Arial"/>
          <w:noProof/>
        </w:rPr>
        <w:t>h</w:t>
      </w:r>
      <w:bookmarkStart w:id="31" w:name="__Fieldmark__2821_2885770120"/>
      <w:r w:rsidRPr="009F2FFD">
        <w:rPr>
          <w:rFonts w:ascii="Arial" w:hAnsi="Arial" w:cs="Arial"/>
          <w:noProof/>
        </w:rPr>
        <w:t>a</w:t>
      </w:r>
      <w:bookmarkStart w:id="32" w:name="__Fieldmark__9724_2364063745"/>
      <w:r w:rsidRPr="009F2FFD">
        <w:rPr>
          <w:rFonts w:ascii="Arial" w:hAnsi="Arial" w:cs="Arial"/>
          <w:noProof/>
        </w:rPr>
        <w:t>ve et al. (2003)</w:t>
      </w:r>
      <w:r w:rsidRPr="009F2FFD">
        <w:rPr>
          <w:rFonts w:ascii="Arial" w:hAnsi="Arial" w:cs="Arial"/>
        </w:rPr>
        <w:fldChar w:fldCharType="end"/>
      </w:r>
      <w:bookmarkEnd w:id="29"/>
      <w:bookmarkEnd w:id="30"/>
      <w:bookmarkEnd w:id="31"/>
      <w:bookmarkEnd w:id="32"/>
      <w:r w:rsidRPr="009F2FFD">
        <w:rPr>
          <w:rFonts w:ascii="Arial" w:hAnsi="Arial" w:cs="Arial"/>
        </w:rPr>
        <w:t>.</w:t>
      </w:r>
    </w:p>
    <w:p w14:paraId="06BD2D77" w14:textId="77777777" w:rsidR="004373E3" w:rsidRPr="009F2FFD" w:rsidRDefault="004373E3" w:rsidP="004373E3">
      <w:pPr>
        <w:spacing w:after="0" w:line="480" w:lineRule="auto"/>
        <w:jc w:val="both"/>
        <w:rPr>
          <w:rFonts w:ascii="Arial" w:hAnsi="Arial" w:cs="Arial"/>
        </w:rPr>
      </w:pPr>
      <w:r w:rsidRPr="009F2FFD">
        <w:rPr>
          <w:rFonts w:ascii="Arial" w:hAnsi="Arial" w:cs="Arial"/>
        </w:rPr>
        <w:t xml:space="preserve">As surrogates for </w:t>
      </w:r>
      <w:r w:rsidR="00440EB6">
        <w:rPr>
          <w:rFonts w:ascii="Arial" w:hAnsi="Arial" w:cs="Arial"/>
        </w:rPr>
        <w:t xml:space="preserve">the </w:t>
      </w:r>
      <w:r w:rsidRPr="009F2FFD">
        <w:rPr>
          <w:rFonts w:ascii="Arial" w:hAnsi="Arial" w:cs="Arial"/>
        </w:rPr>
        <w:t xml:space="preserve">diversity of restituted plant communities, we used observed species richness (S), Chao’s richness estimator (Chao, </w:t>
      </w:r>
      <w:r w:rsidRPr="009F2FFD">
        <w:rPr>
          <w:rFonts w:ascii="Arial" w:hAnsi="Arial" w:cs="Arial"/>
        </w:rPr>
        <w:fldChar w:fldCharType="begin" w:fldLock="1"/>
      </w:r>
      <w:r w:rsidR="00A8006D">
        <w:rPr>
          <w:rFonts w:ascii="Arial" w:hAnsi="Arial" w:cs="Arial"/>
        </w:rPr>
        <w:instrText>ADDIN CSL_CITATION {"citationItems":[{"id":"ITEM-1","itemData":{"DOI":"10.1093/jpe/rtr044","ISBN":"17529921 (ISSN)","ISSN":"17529921","abstract":"Aims In ecology and conservation biology, the number of species counted in a biodiversity study is a key metric but is usually a biased underestimate of total species richness because many rare species are not detected. Moreover, comparing species richness among sites or samples is a statistical challenge because the observed number of species is sensitive to the number of individuals counted or the area sampled. For individual-based data, we treat a single, empirical sample of species abundances from an investigator-defined species assemblage or community as a reference point for two estimation objectives under two sampling models: estimating the expected number of species (and its unconditional variance) in a random sample of (i) a smaller number of individuals (multinomial model) or a smaller area sampled (Poisson model) and (ii) a larger number of individuals or a larger area sampled. For sample-based incidence (presenceâ€“absence) data, under a Bernoulli product model, we treat a single set of species incidence frequencies as the reference point to estimate richness for smaller and larger numbers of sampling units.Methods The first objective is a problem in interpolation that we address with classical rarefaction (multinomial model) and Coleman rarefaction (Poisson model) for individual-based data and with sample-based rarefaction (Bernoulli product model) for incidence frequencies. The second is a problem in extrapolation that we address with sampling-theoretic predictors for the number of species in a larger sample (multinomial model), a larger area (Poisson model) or a larger number of sampling units (Bernoulli product model), based on an estimate of asymptotic species richness. Although published methods exist for many of these objectives, we bring them together here with some new estimators under a unified statistical and notational framework. This novel integration of mathematically distinct approaches allowed us to link interpolated (rarefaction) curves and extrapolated curves to plot a unified species accumulation curve for empirical examples. We provide new, unconditional variance estimators for classical, individual-based rarefaction and for Coleman rarefaction, long missing from the toolkit of biodiversity measurement. We illustrate these methods with datasets for tropical beetles, tropical trees and tropical ants.Important Findings Surprisingly, for all datasets we examined, the interpolation (rarefaction) curve and the extrapolation cu…","author":[{"dropping-particle":"","family":"Colwell","given":"Robert K.","non-dropping-particle":"","parse-names":false,"suffix":""},{"dropping-particle":"","family":"Chao","given":"Anne","non-dropping-particle":"","parse-names":false,"suffix":""},{"dropping-particle":"","family":"Gotelli","given":"Nicholas J.","non-dropping-particle":"","parse-names":false,"suffix":""},{"dropping-particle":"","family":"Lin","given":"Shang Yi","non-dropping-particle":"","parse-names":false,"suffix":""},{"dropping-particle":"","family":"Mao","given":"Chang Xuan","non-dropping-particle":"","parse-names":false,"suffix":""},{"dropping-particle":"","family":"Chazdon","given":"Robin L.","non-dropping-particle":"","parse-names":false,"suffix":""},{"dropping-particle":"","family":"Longino","given":"John T.","non-dropping-particle":"","parse-names":false,"suffix":""}],"container-title":"Journal of Plant Ecology","id":"ITEM-1","issue":"1","issued":{"date-parts":[["2012"]]},"page":"3-21","title":"Models and estimators linking individual-based and sample-based rarefaction, extrapolation and comparison of assemblages","type":"article-journal","volume":"5"},"uris":["http://www.mendeley.com/documents/?uuid=e06ba855-bb42-4ba0-8bb8-02b178edd043"]}],"mendeley":{"formattedCitation":"(Colwell et al. 2012)","manualFormatting":"Colwell et al., 2012)","plainTextFormattedCitation":"(Colwell et al. 2012)","previouslyFormattedCitation":"(Colwell et al. 2012)"},"properties":{"noteIndex":0},"schema":"https://github.com/citation-style-language/schema/raw/master/csl-citation.json"}</w:instrText>
      </w:r>
      <w:r w:rsidRPr="009F2FFD">
        <w:rPr>
          <w:rFonts w:ascii="Arial" w:hAnsi="Arial" w:cs="Arial"/>
        </w:rPr>
        <w:fldChar w:fldCharType="separate"/>
      </w:r>
      <w:bookmarkStart w:id="33" w:name="__Fieldmark__733_2580851028"/>
      <w:r w:rsidRPr="009F2FFD">
        <w:rPr>
          <w:rFonts w:ascii="Arial" w:hAnsi="Arial" w:cs="Arial"/>
          <w:noProof/>
        </w:rPr>
        <w:t>C</w:t>
      </w:r>
      <w:bookmarkStart w:id="34" w:name="__Fieldmark__368_3437287712"/>
      <w:r w:rsidRPr="009F2FFD">
        <w:rPr>
          <w:rFonts w:ascii="Arial" w:hAnsi="Arial" w:cs="Arial"/>
          <w:noProof/>
        </w:rPr>
        <w:t>o</w:t>
      </w:r>
      <w:bookmarkStart w:id="35" w:name="__Fieldmark__2835_2885770120"/>
      <w:r w:rsidRPr="009F2FFD">
        <w:rPr>
          <w:rFonts w:ascii="Arial" w:hAnsi="Arial" w:cs="Arial"/>
          <w:noProof/>
        </w:rPr>
        <w:t>l</w:t>
      </w:r>
      <w:bookmarkStart w:id="36" w:name="__Fieldmark__9759_2364063745"/>
      <w:r w:rsidRPr="009F2FFD">
        <w:rPr>
          <w:rFonts w:ascii="Arial" w:hAnsi="Arial" w:cs="Arial"/>
          <w:noProof/>
        </w:rPr>
        <w:t>well et al., 2012)</w:t>
      </w:r>
      <w:r w:rsidRPr="009F2FFD">
        <w:rPr>
          <w:rFonts w:ascii="Arial" w:hAnsi="Arial" w:cs="Arial"/>
        </w:rPr>
        <w:fldChar w:fldCharType="end"/>
      </w:r>
      <w:bookmarkEnd w:id="33"/>
      <w:bookmarkEnd w:id="34"/>
      <w:bookmarkEnd w:id="35"/>
      <w:bookmarkEnd w:id="36"/>
      <w:r w:rsidRPr="009F2FFD">
        <w:rPr>
          <w:rFonts w:ascii="Arial" w:hAnsi="Arial" w:cs="Arial"/>
        </w:rPr>
        <w:t xml:space="preserve"> and Faith’s index of phylogenetic diversity (PD, </w:t>
      </w:r>
      <w:r w:rsidRPr="009F2FFD">
        <w:rPr>
          <w:rFonts w:ascii="Arial" w:hAnsi="Arial" w:cs="Arial"/>
        </w:rPr>
        <w:fldChar w:fldCharType="begin" w:fldLock="1"/>
      </w:r>
      <w:r w:rsidR="00A8006D">
        <w:rPr>
          <w:rFonts w:ascii="Arial" w:hAnsi="Arial" w:cs="Arial"/>
        </w:rPr>
        <w:instrText>ADDIN CSL_CITATION {"citationItems":[{"id":"ITEM-1","itemData":{"DOI":"https://doi.org/10.1016/0006-3207(92)91201-3","ISSN":"0006-3207","author":[{"dropping-particle":"","family":"Faith","given":"Daniel P","non-dropping-particle":"","parse-names":false,"suffix":""}],"container-title":"Biological Conservation","id":"ITEM-1","issue":"1","issued":{"date-parts":[["1992"]]},"page":"1-10","title":"Conservation evaluation and phylogenetic diversity","type":"article-journal","volume":"61"},"uris":["http://www.mendeley.com/documents/?uuid=645fb9b2-8d25-4357-a56b-33a7b1b664f6"]}],"mendeley":{"formattedCitation":"(Faith 1992)","manualFormatting":"Faith, 1992)","plainTextFormattedCitation":"(Faith 1992)","previouslyFormattedCitation":"(Faith 1992)"},"properties":{"noteIndex":0},"schema":"https://github.com/citation-style-language/schema/raw/master/csl-citation.json"}</w:instrText>
      </w:r>
      <w:r w:rsidRPr="009F2FFD">
        <w:rPr>
          <w:rFonts w:ascii="Arial" w:hAnsi="Arial" w:cs="Arial"/>
        </w:rPr>
        <w:fldChar w:fldCharType="separate"/>
      </w:r>
      <w:bookmarkStart w:id="37" w:name="__Fieldmark__748_2580851028"/>
      <w:r w:rsidRPr="009F2FFD">
        <w:rPr>
          <w:rFonts w:ascii="Arial" w:hAnsi="Arial" w:cs="Arial"/>
          <w:noProof/>
        </w:rPr>
        <w:t>F</w:t>
      </w:r>
      <w:bookmarkStart w:id="38" w:name="__Fieldmark__379_3437287712"/>
      <w:r w:rsidRPr="009F2FFD">
        <w:rPr>
          <w:rFonts w:ascii="Arial" w:hAnsi="Arial" w:cs="Arial"/>
          <w:noProof/>
        </w:rPr>
        <w:t>a</w:t>
      </w:r>
      <w:bookmarkStart w:id="39" w:name="__Fieldmark__2842_2885770120"/>
      <w:r w:rsidRPr="009F2FFD">
        <w:rPr>
          <w:rFonts w:ascii="Arial" w:hAnsi="Arial" w:cs="Arial"/>
          <w:noProof/>
        </w:rPr>
        <w:t>i</w:t>
      </w:r>
      <w:bookmarkStart w:id="40" w:name="__Fieldmark__9764_2364063745"/>
      <w:r w:rsidRPr="009F2FFD">
        <w:rPr>
          <w:rFonts w:ascii="Arial" w:hAnsi="Arial" w:cs="Arial"/>
          <w:noProof/>
        </w:rPr>
        <w:t>th, 1992)</w:t>
      </w:r>
      <w:r w:rsidRPr="009F2FFD">
        <w:rPr>
          <w:rFonts w:ascii="Arial" w:hAnsi="Arial" w:cs="Arial"/>
        </w:rPr>
        <w:fldChar w:fldCharType="end"/>
      </w:r>
      <w:bookmarkEnd w:id="37"/>
      <w:bookmarkEnd w:id="38"/>
      <w:bookmarkEnd w:id="39"/>
      <w:bookmarkEnd w:id="40"/>
      <w:r w:rsidRPr="009F2FFD">
        <w:rPr>
          <w:rFonts w:ascii="Arial" w:hAnsi="Arial" w:cs="Arial"/>
        </w:rPr>
        <w:t xml:space="preserve"> for woody, herbaceous and entire community. Observed species richness is the number of registered species per plot; for </w:t>
      </w:r>
      <w:r>
        <w:rPr>
          <w:rFonts w:ascii="Arial" w:hAnsi="Arial" w:cs="Arial"/>
        </w:rPr>
        <w:t xml:space="preserve">the </w:t>
      </w:r>
      <w:r w:rsidRPr="009F2FFD">
        <w:rPr>
          <w:rFonts w:ascii="Arial" w:hAnsi="Arial" w:cs="Arial"/>
        </w:rPr>
        <w:t>entire community, we pooled species from the woody and the herbaceous community for each plot. To estimate true species richness, we divided each plot in</w:t>
      </w:r>
      <w:r w:rsidR="00440EB6">
        <w:rPr>
          <w:rFonts w:ascii="Arial" w:hAnsi="Arial" w:cs="Arial"/>
        </w:rPr>
        <w:t>to</w:t>
      </w:r>
      <w:r w:rsidRPr="009F2FFD">
        <w:rPr>
          <w:rFonts w:ascii="Arial" w:hAnsi="Arial" w:cs="Arial"/>
        </w:rPr>
        <w:t xml:space="preserve"> 4 subplots of 5x5 m (woody community) or considered each 1x1 m subplot (herbaceous community) as </w:t>
      </w:r>
      <w:r>
        <w:rPr>
          <w:rFonts w:ascii="Arial" w:hAnsi="Arial" w:cs="Arial"/>
        </w:rPr>
        <w:t xml:space="preserve">an </w:t>
      </w:r>
      <w:r w:rsidRPr="009F2FFD">
        <w:rPr>
          <w:rFonts w:ascii="Arial" w:hAnsi="Arial" w:cs="Arial"/>
        </w:rPr>
        <w:t>independent sample, before we compute</w:t>
      </w:r>
      <w:r>
        <w:rPr>
          <w:rFonts w:ascii="Arial" w:hAnsi="Arial" w:cs="Arial"/>
        </w:rPr>
        <w:t>d</w:t>
      </w:r>
      <w:r w:rsidRPr="009F2FFD">
        <w:rPr>
          <w:rFonts w:ascii="Arial" w:hAnsi="Arial" w:cs="Arial"/>
        </w:rPr>
        <w:t xml:space="preserve"> Chao’s richness estimator using </w:t>
      </w:r>
      <w:r>
        <w:rPr>
          <w:rFonts w:ascii="Arial" w:hAnsi="Arial" w:cs="Arial"/>
        </w:rPr>
        <w:t xml:space="preserve">the </w:t>
      </w:r>
      <w:r w:rsidRPr="009F2FFD">
        <w:rPr>
          <w:rFonts w:ascii="Arial" w:hAnsi="Arial" w:cs="Arial"/>
        </w:rPr>
        <w:t>‘</w:t>
      </w:r>
      <w:proofErr w:type="spellStart"/>
      <w:r w:rsidRPr="009F2FFD">
        <w:rPr>
          <w:rFonts w:ascii="Arial" w:hAnsi="Arial" w:cs="Arial"/>
        </w:rPr>
        <w:t>specpool</w:t>
      </w:r>
      <w:proofErr w:type="spellEnd"/>
      <w:r w:rsidRPr="009F2FFD">
        <w:rPr>
          <w:rFonts w:ascii="Arial" w:hAnsi="Arial" w:cs="Arial"/>
        </w:rPr>
        <w:t xml:space="preserve">’ function from </w:t>
      </w:r>
      <w:r>
        <w:rPr>
          <w:rFonts w:ascii="Arial" w:hAnsi="Arial" w:cs="Arial"/>
        </w:rPr>
        <w:t xml:space="preserve">the </w:t>
      </w:r>
      <w:r w:rsidRPr="009F2FFD">
        <w:rPr>
          <w:rFonts w:ascii="Arial" w:hAnsi="Arial" w:cs="Arial"/>
        </w:rPr>
        <w:t xml:space="preserve">vegan package </w:t>
      </w:r>
      <w:r w:rsidRPr="009F2FFD">
        <w:rPr>
          <w:rFonts w:ascii="Arial" w:hAnsi="Arial" w:cs="Arial"/>
        </w:rPr>
        <w:fldChar w:fldCharType="begin" w:fldLock="1"/>
      </w:r>
      <w:r w:rsidR="00A8006D">
        <w:rPr>
          <w:rFonts w:ascii="Arial" w:hAnsi="Arial" w:cs="Arial"/>
        </w:rPr>
        <w:instrText>ADDIN CSL_CITATION {"citationItems":[{"id":"ITEM-1","itemData":{"URL":"https://cran.r-project.org/package=vegan","author":[{"dropping-particle":"","family":"Oksanen","given":"J.","non-dropping-particle":"","parse-names":false,"suffix":""},{"dropping-particle":"","family":"Blanchet","given":"F. G.","non-dropping-particle":"","parse-names":false,"suffix":""},{"dropping-particle":"","family":"Friendly","given":"M.","non-dropping-particle":"","parse-names":false,"suffix":""},{"dropping-particle":"","family":"Kindt","given":"R","non-dropping-particle":"","parse-names":false,"suffix":""},{"dropping-particle":"","family":"Legendre","given":"P.","non-dropping-particle":"","parse-names":false,"suffix":""},{"dropping-particle":"","family":"McGlinn","given":"D.","non-dropping-particle":"","parse-names":false,"suffix":""},{"dropping-particle":"","family":"Minchin","given":"P.R.","non-dropping-particle":"","parse-names":false,"suffix":""},{"dropping-particle":"","family":"O'Hara","given":"R. B.","non-dropping-particle":"","parse-names":false,"suffix":""},{"dropping-particle":"","family":"Simpson","given":"G. L.","non-dropping-particle":"","parse-names":false,"suffix":""},{"dropping-particle":"","family":"Solymos","given":"P.","non-dropping-particle":"","parse-names":false,"suffix":""},{"dropping-particle":"","family":"Stevens","given":"M. H. H.","non-dropping-particle":"","parse-names":false,"suffix":""},{"dropping-particle":"","family":"Szoecs","given":"E.","non-dropping-particle":"","parse-names":false,"suffix":""},{"dropping-particle":"","family":"Wagner","given":"H.","non-dropping-particle":"","parse-names":false,"suffix":""}],"container-title":"vegan: Community Ecology Package.","id":"ITEM-1","issued":{"date-parts":[["2017"]]},"title":"No Title","type":"webpage"},"uris":["http://www.mendeley.com/documents/?uuid=8b2e6f72-0bff-4f77-b631-9173ae35ab27"]}],"mendeley":{"formattedCitation":"(Oksanen et al. 2017)","plainTextFormattedCitation":"(Oksanen et al. 2017)","previouslyFormattedCitation":"(Oksanen et al. 2017)"},"properties":{"noteIndex":0},"schema":"https://github.com/citation-style-language/schema/raw/master/csl-citation.json"}</w:instrText>
      </w:r>
      <w:r w:rsidRPr="009F2FFD">
        <w:rPr>
          <w:rFonts w:ascii="Arial" w:hAnsi="Arial" w:cs="Arial"/>
        </w:rPr>
        <w:fldChar w:fldCharType="separate"/>
      </w:r>
      <w:bookmarkStart w:id="41" w:name="__Fieldmark__765_2580851028"/>
      <w:bookmarkStart w:id="42" w:name="__Fieldmark__390_3437287712"/>
      <w:bookmarkStart w:id="43" w:name="__Fieldmark__2851_2885770120"/>
      <w:bookmarkStart w:id="44" w:name="__Fieldmark__9774_2364063745"/>
      <w:r w:rsidRPr="004373E3">
        <w:rPr>
          <w:rFonts w:ascii="Arial" w:hAnsi="Arial" w:cs="Arial"/>
          <w:noProof/>
        </w:rPr>
        <w:t>(Oksanen et al. 2017)</w:t>
      </w:r>
      <w:r w:rsidRPr="009F2FFD">
        <w:rPr>
          <w:rFonts w:ascii="Arial" w:hAnsi="Arial" w:cs="Arial"/>
        </w:rPr>
        <w:fldChar w:fldCharType="end"/>
      </w:r>
      <w:bookmarkEnd w:id="41"/>
      <w:bookmarkEnd w:id="42"/>
      <w:bookmarkEnd w:id="43"/>
      <w:bookmarkEnd w:id="44"/>
      <w:r w:rsidRPr="009F2FFD">
        <w:rPr>
          <w:rFonts w:ascii="Arial" w:hAnsi="Arial" w:cs="Arial"/>
        </w:rPr>
        <w:t xml:space="preserve">. For </w:t>
      </w:r>
      <w:r>
        <w:rPr>
          <w:rFonts w:ascii="Arial" w:hAnsi="Arial" w:cs="Arial"/>
        </w:rPr>
        <w:t>each plot</w:t>
      </w:r>
      <w:r w:rsidRPr="009F2FFD">
        <w:rPr>
          <w:rFonts w:ascii="Arial" w:hAnsi="Arial" w:cs="Arial"/>
        </w:rPr>
        <w:t xml:space="preserve">, we additionally computed mean </w:t>
      </w:r>
      <w:proofErr w:type="spellStart"/>
      <w:r w:rsidRPr="009F2FFD">
        <w:rPr>
          <w:rFonts w:ascii="Arial" w:hAnsi="Arial" w:cs="Arial"/>
        </w:rPr>
        <w:t>Sørensen</w:t>
      </w:r>
      <w:proofErr w:type="spellEnd"/>
      <w:r w:rsidRPr="009F2FFD">
        <w:rPr>
          <w:rFonts w:ascii="Arial" w:hAnsi="Arial" w:cs="Arial"/>
        </w:rPr>
        <w:t xml:space="preserve"> </w:t>
      </w:r>
      <w:r>
        <w:rPr>
          <w:rFonts w:ascii="Arial" w:hAnsi="Arial" w:cs="Arial"/>
        </w:rPr>
        <w:t>dis</w:t>
      </w:r>
      <w:r w:rsidRPr="009F2FFD">
        <w:rPr>
          <w:rFonts w:ascii="Arial" w:hAnsi="Arial" w:cs="Arial"/>
        </w:rPr>
        <w:t xml:space="preserve">similarities </w:t>
      </w:r>
      <w:r>
        <w:rPr>
          <w:rFonts w:ascii="Arial" w:hAnsi="Arial" w:cs="Arial"/>
        </w:rPr>
        <w:t>(1-S</w:t>
      </w:r>
      <w:r w:rsidRPr="009F2FFD">
        <w:rPr>
          <w:rFonts w:ascii="Arial" w:hAnsi="Arial" w:cs="Arial"/>
        </w:rPr>
        <w:t>ørensen</w:t>
      </w:r>
      <w:r>
        <w:rPr>
          <w:rFonts w:ascii="Arial" w:hAnsi="Arial" w:cs="Arial"/>
        </w:rPr>
        <w:t xml:space="preserve"> similarity) </w:t>
      </w:r>
      <w:r w:rsidRPr="009F2FFD">
        <w:rPr>
          <w:rFonts w:ascii="Arial" w:hAnsi="Arial" w:cs="Arial"/>
        </w:rPr>
        <w:t xml:space="preserve">to </w:t>
      </w:r>
      <w:r>
        <w:rPr>
          <w:rFonts w:ascii="Arial" w:hAnsi="Arial" w:cs="Arial"/>
        </w:rPr>
        <w:t xml:space="preserve">all nine </w:t>
      </w:r>
      <w:r w:rsidRPr="009F2FFD">
        <w:rPr>
          <w:rFonts w:ascii="Arial" w:hAnsi="Arial" w:cs="Arial"/>
        </w:rPr>
        <w:t>reference plots as a measure for community composition (</w:t>
      </w:r>
      <w:r>
        <w:rPr>
          <w:rFonts w:ascii="Arial" w:hAnsi="Arial" w:cs="Arial"/>
        </w:rPr>
        <w:t>Diss</w:t>
      </w:r>
      <w:r w:rsidRPr="009F2FFD">
        <w:rPr>
          <w:rFonts w:ascii="Arial" w:hAnsi="Arial" w:cs="Arial"/>
        </w:rPr>
        <w:t>imilarity).</w:t>
      </w:r>
    </w:p>
    <w:p w14:paraId="2285EC93" w14:textId="77777777" w:rsidR="00CC27E9" w:rsidRPr="009F2FFD" w:rsidRDefault="00CC27E9" w:rsidP="00CC27E9">
      <w:pPr>
        <w:spacing w:after="0" w:line="480" w:lineRule="auto"/>
        <w:jc w:val="both"/>
        <w:rPr>
          <w:rFonts w:ascii="Arial" w:hAnsi="Arial" w:cs="Arial"/>
        </w:rPr>
      </w:pPr>
      <w:r w:rsidRPr="009F2FFD">
        <w:rPr>
          <w:rFonts w:ascii="Arial" w:hAnsi="Arial" w:cs="Arial"/>
        </w:rPr>
        <w:t xml:space="preserve">For the computation of phylogenetic diversity, all species sampled in this survey were inserted in the </w:t>
      </w:r>
      <w:proofErr w:type="spellStart"/>
      <w:r w:rsidRPr="009F2FFD">
        <w:rPr>
          <w:rFonts w:ascii="Arial" w:hAnsi="Arial" w:cs="Arial"/>
        </w:rPr>
        <w:t>megatree</w:t>
      </w:r>
      <w:proofErr w:type="spellEnd"/>
      <w:r w:rsidRPr="009F2FFD">
        <w:rPr>
          <w:rFonts w:ascii="Arial" w:hAnsi="Arial" w:cs="Arial"/>
        </w:rPr>
        <w:t xml:space="preserve"> R20160415.new using </w:t>
      </w:r>
      <w:proofErr w:type="spellStart"/>
      <w:r w:rsidRPr="009F2FFD">
        <w:rPr>
          <w:rFonts w:ascii="Arial" w:hAnsi="Arial" w:cs="Arial"/>
          <w:i/>
        </w:rPr>
        <w:t>ComTreeOpt</w:t>
      </w:r>
      <w:proofErr w:type="spellEnd"/>
      <w:r w:rsidRPr="009F2FFD">
        <w:rPr>
          <w:rFonts w:ascii="Arial" w:hAnsi="Arial" w:cs="Arial"/>
        </w:rPr>
        <w:t xml:space="preserve"> function </w:t>
      </w:r>
      <w:r w:rsidRPr="009F2FFD">
        <w:rPr>
          <w:rFonts w:ascii="Arial" w:hAnsi="Arial" w:cs="Arial"/>
        </w:rPr>
        <w:fldChar w:fldCharType="begin" w:fldLock="1"/>
      </w:r>
      <w:r w:rsidR="00A8006D">
        <w:rPr>
          <w:rFonts w:ascii="Arial" w:hAnsi="Arial" w:cs="Arial"/>
        </w:rPr>
        <w:instrText>ADDIN CSL_CITATION {"citationItems":[{"id":"ITEM-1","itemData":{"DOI":"10.1016/j.ecoinf.2018.06.008","ISSN":"15749541","abstract":"Soft polytomies emerge due to the application of handmade supertrees in phylogenetic community analysis, thus increasing uncertainties regarding phylogenetic diversity or community structure indices. Real-time integration of advances in phylogenetic knowledge among species from public data repositories, such as Open Tree of Life, may reduce this uncertainty. Based on an interface with Open Tree of Life, the Community Tree Optimizer (ComTreeOpt) classifies families from user-specific lists into resolvable and non-resolvable families, builds resolved subtrees for resolvable families and inserts them in the megatree previously pruned to species from non-resolvable families. Community trees optimized by ComTreeOpt show 30-50% fewer polytomies than non-optimized community trees, reducing the uncertainties in ACCEPTED MANUSCRIPT phylogenetic diversity and dispersion metrics that are due to a lack of phylogenetic resolution. ComTreeOpt enhances user-specific community trees in a rapid and inexpensive way based on available phylogenetic information, thus increasing the confidence in the metrics of phylogenetic diversity and dispersion.","author":[{"dropping-particle":"","family":"Gastauer","given":"Markus","non-dropping-particle":"","parse-names":false,"suffix":""},{"dropping-particle":"","family":"Caldeira","given":"Cecílio Frois","non-dropping-particle":"","parse-names":false,"suffix":""},{"dropping-particle":"","family":"Trotter","given":"Ian","non-dropping-particle":"","parse-names":false,"suffix":""},{"dropping-particle":"","family":"Ramos","given":"Silvio Junio","non-dropping-particle":"","parse-names":false,"suffix":""},{"dropping-particle":"","family":"Alves","given":"João Augusto","non-dropping-particle":"","parse-names":false,"suffix":""},{"dropping-particle":"","family":"Neto","given":"Meira","non-dropping-particle":"","parse-names":false,"suffix":""}],"container-title":"Ecological Informatics","id":"ITEM-1","issue":"June","issued":{"date-parts":[["2018"]]},"page":"0-1","publisher":"Elsevier","title":"Optimizing community trees using the open tree of life increases the reliability of phylogenetic diversity and dispersion indices","type":"article-journal"},"uris":["http://www.mendeley.com/documents/?uuid=95f449a5-aaee-4166-88bd-114b41d713c6"]}],"mendeley":{"formattedCitation":"(Gastauer et al. 2018)","manualFormatting":"(Gastauer et al., 2018a)","plainTextFormattedCitation":"(Gastauer et al. 2018)","previouslyFormattedCitation":"(Gastauer et al. 2018)"},"properties":{"noteIndex":0},"schema":"https://github.com/citation-style-language/schema/raw/master/csl-citation.json"}</w:instrText>
      </w:r>
      <w:r w:rsidRPr="009F2FFD">
        <w:rPr>
          <w:rFonts w:ascii="Arial" w:hAnsi="Arial" w:cs="Arial"/>
        </w:rPr>
        <w:fldChar w:fldCharType="separate"/>
      </w:r>
      <w:bookmarkStart w:id="45" w:name="__Fieldmark__803_2580851028"/>
      <w:r w:rsidRPr="009F2FFD">
        <w:rPr>
          <w:rFonts w:ascii="Arial" w:hAnsi="Arial" w:cs="Arial"/>
          <w:noProof/>
        </w:rPr>
        <w:t>(</w:t>
      </w:r>
      <w:bookmarkStart w:id="46" w:name="__Fieldmark__427_3437287712"/>
      <w:bookmarkStart w:id="47" w:name="__Fieldmark__2880_2885770120"/>
      <w:bookmarkStart w:id="48" w:name="__Fieldmark__9804_2364063745"/>
      <w:r w:rsidRPr="009F2FFD">
        <w:rPr>
          <w:rFonts w:ascii="Arial" w:hAnsi="Arial" w:cs="Arial"/>
          <w:noProof/>
        </w:rPr>
        <w:t>Gastauer et al., 2018a)</w:t>
      </w:r>
      <w:r w:rsidRPr="009F2FFD">
        <w:rPr>
          <w:rFonts w:ascii="Arial" w:hAnsi="Arial" w:cs="Arial"/>
        </w:rPr>
        <w:fldChar w:fldCharType="end"/>
      </w:r>
      <w:bookmarkEnd w:id="45"/>
      <w:bookmarkEnd w:id="46"/>
      <w:bookmarkEnd w:id="47"/>
      <w:bookmarkEnd w:id="48"/>
      <w:r w:rsidR="004373E3">
        <w:rPr>
          <w:rFonts w:ascii="Arial" w:hAnsi="Arial" w:cs="Arial"/>
        </w:rPr>
        <w:t>. The resulting community tree was</w:t>
      </w:r>
      <w:r w:rsidRPr="009F2FFD">
        <w:rPr>
          <w:rFonts w:ascii="Arial" w:hAnsi="Arial" w:cs="Arial"/>
        </w:rPr>
        <w:t xml:space="preserve"> dated using age estimates from </w:t>
      </w:r>
      <w:r w:rsidRPr="009F2FFD">
        <w:rPr>
          <w:rFonts w:ascii="Arial" w:hAnsi="Arial" w:cs="Arial"/>
        </w:rPr>
        <w:fldChar w:fldCharType="begin" w:fldLock="1"/>
      </w:r>
      <w:r w:rsidR="00A8006D">
        <w:rPr>
          <w:rFonts w:ascii="Arial" w:hAnsi="Arial" w:cs="Arial"/>
        </w:rPr>
        <w:instrText>ADDIN CSL_CITATION {"citationItems":[{"id":"ITEM-1","itemData":{"DOI":"10.1111/nph.13264","ISSN":"1469-8137","author":[{"dropping-particle":"","family":"Magallón","given":"Susana","non-dropping-particle":"","parse-names":false,"suffix":""},{"dropping-particle":"","family":"Gómez-Acevedo","given":"Sandra","non-dropping-particle":"","parse-names":false,"suffix":""},{"dropping-particle":"","family":"Sánchez-Reyes","given":"Luna L","non-dropping-particle":"","parse-names":false,"suffix":""},{"dropping-particle":"","family":"Hernández-Hernández","given":"Tania","non-dropping-particle":"","parse-names":false,"suffix":""}],"container-title":"New Phytologist","id":"ITEM-1","issue":"2","issued":{"date-parts":[["2015","7","1"]]},"page":"437-453","title":"A metacalibrated time-tree documents the early rise of flowering plant phylogenetic diversity","type":"article-journal","volume":"207"},"uris":["http://www.mendeley.com/documents/?uuid=5486f671-8e80-45e9-a77e-838c86030b69"]}],"mendeley":{"formattedCitation":"(Magallón et al. 2015)","manualFormatting":"Magallón et al. (2015)","plainTextFormattedCitation":"(Magallón et al. 2015)","previouslyFormattedCitation":"(Magallón et al. 2015)"},"properties":{"noteIndex":0},"schema":"https://github.com/citation-style-language/schema/raw/master/csl-citation.json"}</w:instrText>
      </w:r>
      <w:r w:rsidRPr="009F2FFD">
        <w:rPr>
          <w:rFonts w:ascii="Arial" w:hAnsi="Arial" w:cs="Arial"/>
        </w:rPr>
        <w:fldChar w:fldCharType="separate"/>
      </w:r>
      <w:bookmarkStart w:id="49" w:name="__Fieldmark__818_2580851028"/>
      <w:r w:rsidRPr="009F2FFD">
        <w:rPr>
          <w:rFonts w:ascii="Arial" w:hAnsi="Arial" w:cs="Arial"/>
          <w:noProof/>
        </w:rPr>
        <w:t>M</w:t>
      </w:r>
      <w:bookmarkStart w:id="50" w:name="__Fieldmark__438_3437287712"/>
      <w:r w:rsidRPr="009F2FFD">
        <w:rPr>
          <w:rFonts w:ascii="Arial" w:hAnsi="Arial" w:cs="Arial"/>
          <w:noProof/>
        </w:rPr>
        <w:t>a</w:t>
      </w:r>
      <w:bookmarkStart w:id="51" w:name="__Fieldmark__2887_2885770120"/>
      <w:r w:rsidRPr="009F2FFD">
        <w:rPr>
          <w:rFonts w:ascii="Arial" w:hAnsi="Arial" w:cs="Arial"/>
          <w:noProof/>
        </w:rPr>
        <w:t>g</w:t>
      </w:r>
      <w:bookmarkStart w:id="52" w:name="__Fieldmark__9809_2364063745"/>
      <w:r w:rsidRPr="009F2FFD">
        <w:rPr>
          <w:rFonts w:ascii="Arial" w:hAnsi="Arial" w:cs="Arial"/>
          <w:noProof/>
        </w:rPr>
        <w:t>allón et al. (2015)</w:t>
      </w:r>
      <w:r w:rsidRPr="009F2FFD">
        <w:rPr>
          <w:rFonts w:ascii="Arial" w:hAnsi="Arial" w:cs="Arial"/>
        </w:rPr>
        <w:fldChar w:fldCharType="end"/>
      </w:r>
      <w:bookmarkEnd w:id="49"/>
      <w:bookmarkEnd w:id="50"/>
      <w:bookmarkEnd w:id="51"/>
      <w:bookmarkEnd w:id="52"/>
      <w:r w:rsidRPr="009F2FFD">
        <w:rPr>
          <w:rFonts w:ascii="Arial" w:hAnsi="Arial" w:cs="Arial"/>
        </w:rPr>
        <w:t xml:space="preserve">. After that, phylogenetic diversity was computed for each </w:t>
      </w:r>
      <w:r>
        <w:rPr>
          <w:rFonts w:ascii="Arial" w:hAnsi="Arial" w:cs="Arial"/>
        </w:rPr>
        <w:t xml:space="preserve">10x10m </w:t>
      </w:r>
      <w:r w:rsidRPr="009F2FFD">
        <w:rPr>
          <w:rFonts w:ascii="Arial" w:hAnsi="Arial" w:cs="Arial"/>
        </w:rPr>
        <w:t>plot</w:t>
      </w:r>
      <w:r w:rsidR="004373E3">
        <w:rPr>
          <w:rFonts w:ascii="Arial" w:hAnsi="Arial" w:cs="Arial"/>
        </w:rPr>
        <w:t xml:space="preserve"> (woody community)</w:t>
      </w:r>
      <w:r w:rsidRPr="009F2FFD">
        <w:rPr>
          <w:rFonts w:ascii="Arial" w:hAnsi="Arial" w:cs="Arial"/>
        </w:rPr>
        <w:t>, pooling the four subplots from</w:t>
      </w:r>
      <w:r w:rsidR="00440EB6">
        <w:rPr>
          <w:rFonts w:ascii="Arial" w:hAnsi="Arial" w:cs="Arial"/>
        </w:rPr>
        <w:t xml:space="preserve"> the</w:t>
      </w:r>
      <w:r w:rsidRPr="009F2FFD">
        <w:rPr>
          <w:rFonts w:ascii="Arial" w:hAnsi="Arial" w:cs="Arial"/>
        </w:rPr>
        <w:t xml:space="preserve"> herbaceous community together (herbaceous community) or to the 10x10m plot (entire community). </w:t>
      </w:r>
    </w:p>
    <w:p w14:paraId="06D17BAD" w14:textId="304648A8" w:rsidR="00CC27E9" w:rsidRPr="009F2FFD" w:rsidRDefault="00CC27E9" w:rsidP="00CC27E9">
      <w:pPr>
        <w:spacing w:after="0" w:line="480" w:lineRule="auto"/>
        <w:jc w:val="both"/>
        <w:rPr>
          <w:rFonts w:ascii="Arial" w:hAnsi="Arial" w:cs="Arial"/>
        </w:rPr>
      </w:pPr>
      <w:r w:rsidRPr="009F2FFD">
        <w:rPr>
          <w:rFonts w:ascii="Arial" w:hAnsi="Arial" w:cs="Arial"/>
        </w:rPr>
        <w:t>Furthermore, functional diversity was computed as functional richness (</w:t>
      </w:r>
      <w:proofErr w:type="spellStart"/>
      <w:r w:rsidRPr="009F2FFD">
        <w:rPr>
          <w:rFonts w:ascii="Arial" w:hAnsi="Arial" w:cs="Arial"/>
        </w:rPr>
        <w:t>FRich</w:t>
      </w:r>
      <w:proofErr w:type="spellEnd"/>
      <w:r w:rsidRPr="009F2FFD">
        <w:rPr>
          <w:rFonts w:ascii="Arial" w:hAnsi="Arial" w:cs="Arial"/>
        </w:rPr>
        <w:t>), functional dispersion (</w:t>
      </w:r>
      <w:proofErr w:type="spellStart"/>
      <w:r w:rsidRPr="009F2FFD">
        <w:rPr>
          <w:rFonts w:ascii="Arial" w:hAnsi="Arial" w:cs="Arial"/>
        </w:rPr>
        <w:t>FDis</w:t>
      </w:r>
      <w:proofErr w:type="spellEnd"/>
      <w:r w:rsidRPr="009F2FFD">
        <w:rPr>
          <w:rFonts w:ascii="Arial" w:hAnsi="Arial" w:cs="Arial"/>
        </w:rPr>
        <w:t>), functional evenness (</w:t>
      </w:r>
      <w:proofErr w:type="spellStart"/>
      <w:r w:rsidRPr="009F2FFD">
        <w:rPr>
          <w:rFonts w:ascii="Arial" w:hAnsi="Arial" w:cs="Arial"/>
        </w:rPr>
        <w:t>FEve</w:t>
      </w:r>
      <w:proofErr w:type="spellEnd"/>
      <w:r w:rsidRPr="009F2FFD">
        <w:rPr>
          <w:rFonts w:ascii="Arial" w:hAnsi="Arial" w:cs="Arial"/>
        </w:rPr>
        <w:t>) as well as Rao’s quadratic entropy (</w:t>
      </w:r>
      <w:proofErr w:type="spellStart"/>
      <w:r w:rsidRPr="009F2FFD">
        <w:rPr>
          <w:rFonts w:ascii="Arial" w:hAnsi="Arial" w:cs="Arial"/>
        </w:rPr>
        <w:t>RaoQ</w:t>
      </w:r>
      <w:proofErr w:type="spellEnd"/>
      <w:r w:rsidRPr="009F2FFD">
        <w:rPr>
          <w:rFonts w:ascii="Arial" w:hAnsi="Arial" w:cs="Arial"/>
        </w:rPr>
        <w:t xml:space="preserve">), as proposed by </w:t>
      </w:r>
      <w:r w:rsidRPr="009F2FFD">
        <w:rPr>
          <w:rFonts w:ascii="Arial" w:hAnsi="Arial" w:cs="Arial"/>
        </w:rPr>
        <w:fldChar w:fldCharType="begin" w:fldLock="1"/>
      </w:r>
      <w:r w:rsidR="00A8006D">
        <w:rPr>
          <w:rFonts w:ascii="Arial" w:hAnsi="Arial" w:cs="Arial"/>
        </w:rPr>
        <w:instrText>ADDIN CSL_CITATION {"citationItems":[{"id":"ITEM-1","itemData":{"DOI":"10.1111/j.1365-2435.2010.01695.x","ISSN":"0269-8463","abstract":"Summary 1.?Indices quantifying the functional aspect of biodiversity are essential in understanding relationships between biodiversity, ecosystem functioning and environmental constraints. Many indices of functional diversity have been published but we lack consensus about what indices quantify, how redundant they are and which ones are recommended. 2.?This study aims to build a typology of functional diversity indices from artificial data sets encompassing various community structures (different assembly rules, various species richness levels) and to identify a set of independent indices able to discriminate community assembly rules. 3.?Our results confirm that indices can be divided into three main categories, each of these corresponding to one aspect of functional diversity: functional richness, functional evenness and functional divergence. Most published indices are highly correlated and quantify functional richness while quadratic entropy (Q) represents a mix between functional richness and functional divergence. Conversely, two indices (FEve and FDiv respectively quantifying functional evenness and functional divergence) are rather independent to all the others. The power analysis revealed that some indices efficiently detect assembly rules while others performed poorly. 4.?To accurately assess functional diversity and establish its relationships with ecosystem functioning and environmental constraints, we recommend investigating each functional component separately with the appropriate index. Guidelines are provided to help choosing appropriate indices given the issue being investigated. 5.?This study demonstrates that functional diversity indices have the potential to reveal the processes that structure biological communities. Combined with complementary methods (phylogenetic and taxonomic diversity), the multifaceted framework of functional diversity will help improve our understanding of how biodiversity interacts with ecosystem processes and environmental constraints.","author":[{"dropping-particle":"","family":"Mouchet","given":"Maud A","non-dropping-particle":"","parse-names":false,"suffix":""},{"dropping-particle":"","family":"Villéger","given":"Sébastien","non-dropping-particle":"","parse-names":false,"suffix":""},{"dropping-particle":"","family":"Mason","given":"Norman W H","non-dropping-particle":"","parse-names":false,"suffix":""},{"dropping-particle":"","family":"Mouillot","given":"David","non-dropping-particle":"","parse-names":false,"suffix":""}],"container-title":"Functional Ecology","id":"ITEM-1","issue":"4","issued":{"date-parts":[["2010","7"]]},"page":"867-876","publisher":"Wiley/Blackwell (10.1111)","title":"Functional diversity measures: an overview of their redundancy and their ability to discriminate community assembly rules","type":"article-journal","volume":"24"},"uris":["http://www.mendeley.com/documents/?uuid=5462cc25-0e35-4abf-8884-3f73c3415c65","http://www.mendeley.com/documents/?uuid=57c606b7-5d2f-4912-b6be-4579b5698ec8"]}],"mendeley":{"formattedCitation":"(Mouchet et al. 2010)","manualFormatting":"Mouchet et al. (2010)","plainTextFormattedCitation":"(Mouchet et al. 2010)","previouslyFormattedCitation":"(Mouchet et al. 2010)"},"properties":{"noteIndex":0},"schema":"https://github.com/citation-style-language/schema/raw/master/csl-citation.json"}</w:instrText>
      </w:r>
      <w:r w:rsidRPr="009F2FFD">
        <w:rPr>
          <w:rFonts w:ascii="Arial" w:hAnsi="Arial" w:cs="Arial"/>
        </w:rPr>
        <w:fldChar w:fldCharType="separate"/>
      </w:r>
      <w:bookmarkStart w:id="53" w:name="__Fieldmark__846_2580851028"/>
      <w:r w:rsidRPr="009F2FFD">
        <w:rPr>
          <w:rFonts w:ascii="Arial" w:hAnsi="Arial" w:cs="Arial"/>
          <w:noProof/>
        </w:rPr>
        <w:t>M</w:t>
      </w:r>
      <w:bookmarkStart w:id="54" w:name="__Fieldmark__451_3437287712"/>
      <w:r w:rsidRPr="009F2FFD">
        <w:rPr>
          <w:rFonts w:ascii="Arial" w:hAnsi="Arial" w:cs="Arial"/>
          <w:noProof/>
        </w:rPr>
        <w:t>o</w:t>
      </w:r>
      <w:bookmarkStart w:id="55" w:name="__Fieldmark__2908_2885770120"/>
      <w:r w:rsidRPr="009F2FFD">
        <w:rPr>
          <w:rFonts w:ascii="Arial" w:hAnsi="Arial" w:cs="Arial"/>
          <w:noProof/>
        </w:rPr>
        <w:t>u</w:t>
      </w:r>
      <w:bookmarkStart w:id="56" w:name="__Fieldmark__9838_2364063745"/>
      <w:r w:rsidRPr="009F2FFD">
        <w:rPr>
          <w:rFonts w:ascii="Arial" w:hAnsi="Arial" w:cs="Arial"/>
          <w:noProof/>
        </w:rPr>
        <w:t>chet et al. (2010)</w:t>
      </w:r>
      <w:r w:rsidRPr="009F2FFD">
        <w:rPr>
          <w:rFonts w:ascii="Arial" w:hAnsi="Arial" w:cs="Arial"/>
        </w:rPr>
        <w:fldChar w:fldCharType="end"/>
      </w:r>
      <w:bookmarkEnd w:id="53"/>
      <w:bookmarkEnd w:id="54"/>
      <w:bookmarkEnd w:id="55"/>
      <w:bookmarkEnd w:id="56"/>
      <w:r w:rsidRPr="009F2FFD">
        <w:rPr>
          <w:rFonts w:ascii="Arial" w:hAnsi="Arial" w:cs="Arial"/>
        </w:rPr>
        <w:t xml:space="preserve">. For that, we classified each species regarding life and growth </w:t>
      </w:r>
      <w:r w:rsidRPr="009F2FFD">
        <w:rPr>
          <w:rFonts w:ascii="Arial" w:hAnsi="Arial" w:cs="Arial"/>
        </w:rPr>
        <w:lastRenderedPageBreak/>
        <w:t xml:space="preserve">form </w:t>
      </w:r>
      <w:r w:rsidRPr="009F2FFD">
        <w:rPr>
          <w:rFonts w:ascii="Arial" w:hAnsi="Arial" w:cs="Arial"/>
        </w:rPr>
        <w:fldChar w:fldCharType="begin" w:fldLock="1"/>
      </w:r>
      <w:r w:rsidR="00A8006D">
        <w:rPr>
          <w:rFonts w:ascii="Arial" w:hAnsi="Arial" w:cs="Arial"/>
        </w:rPr>
        <w:instrText>ADDIN CSL_CITATION {"citationItems":[{"id":"ITEM-1","itemData":{"abstract":"Plant functional traits are the features (morphological, physiological, phenological) that represent ecological strategies and determine how plants respond to environmental factors, affect other trophic levels and influence ecosystem properties. Variation in plant functional traits, and trait syndromes, has proven useful for tackling many important ecological questions at a range of scales, giving rise to a demand for standardised ways to measure ecologically meaningful plant traits. This line of research has been among the most fruitful avenues for understanding ecological and evolutionary patterns and processes. It also has the potential both to build a predictive set of local, regional and global relationships between plants and environment and to quantify a wide range of natural and human-driven processes, including changes in biodiversity, the impacts of species invasions, alterations in biogeochemical processes and vegetation–atmosphere interactions. The importance of these topics dictates the urgent need for more and better data, and increases the value of standardised protocols for quantifying trait variation of different species, in particular for traits with power to predict plant- and ecosystem-level processes, and for traits that can be measured relatively easily. Updated and expanded from the widely used previous version, this handbook retains the focus on clearly presented, widely applicable, step-by-step recipes, with a minimum of text on theory, and not only includes updated methods for the traits previously covered, but also introduces many new protocols for further traits. This new handbook has a better balance between whole-plant traits, leaf traits, root and stem traits and regenerative traits, and puts particular emphasis on traits important for predicting species’ effects on key ecosystem properties. We hope this new handbook becomes a standard companion in local and global efforts to learn about the responses and impacts of different plant species with respect to environmental changes in the present, past and future. ","author":[{"dropping-particle":"","family":"Pérez-Harguindeguy","given":"N","non-dropping-particle":"","parse-names":false,"suffix":""},{"dropping-particle":"","family":"Díaz","given":"S","non-dropping-particle":"","parse-names":false,"suffix":""},{"dropping-particle":"","family":"Garnier","given":"E","non-dropping-particle":"","parse-names":false,"suffix":""},{"dropping-particle":"","family":"Lavorel","given":"S","non-dropping-particle":"","parse-names":false,"suffix":""},{"dropping-particle":"","family":"Poorter","given":"H","non-dropping-particle":"","parse-names":false,"suffix":""},{"dropping-particle":"","family":"Jaureguiberry","given":"P","non-dropping-particle":"","parse-names":false,"suffix":""},{"dropping-particle":"","family":"Bret-Harte","given":"M S","non-dropping-particle":"","parse-names":false,"suffix":""},{"dropping-particle":"","family":"Cornwell","given":"W K","non-dropping-particle":"","parse-names":false,"suffix":""},{"dropping-particle":"","family":"Craine","given":"J M","non-dropping-particle":"","parse-names":false,"suffix":""},{"dropping-particle":"","family":"Gurvich","given":"D E","non-dropping-particle":"","parse-names":false,"suffix":""},{"dropping-particle":"","family":"Urcelay","given":"C","non-dropping-particle":"","parse-names":false,"suffix":""},{"dropping-particle":"","family":"Veneklaas","given":"E J","non-dropping-particle":"","parse-names":false,"suffix":""},{"dropping-particle":"","family":"Reich","given":"P B","non-dropping-particle":"","parse-names":false,"suffix":""},{"dropping-particle":"","family":"Poorter","given":"L","non-dropping-particle":"","parse-names":false,"suffix":""},{"dropping-particle":"","family":"Wright","given":"I J","non-dropping-particle":"","parse-names":false,"suffix":""},{"dropping-particle":"","family":"Ray","given":"P","non-dropping-particle":"","parse-names":false,"suffix":""},{"dropping-particle":"","family":"Enrico","given":"L","non-dropping-particle":"","parse-names":false,"suffix":""},{"dropping-particle":"","family":"Pausas","given":"J G","non-dropping-particle":"","parse-names":false,"suffix":""},{"dropping-particle":"","family":"Vos","given":"A C","non-dropping-particle":"de","parse-names":false,"suffix":""},{"dropping-particle":"","family":"Buchmann","given":"N","non-dropping-particle":"","parse-names":false,"suffix":""},{"dropping-particle":"","family":"Funes","given":"G","non-dropping-particle":"","parse-names":false,"suffix":""},{"dropping-particle":"","family":"Quétier","given":"F","non-dropping-particle":"","parse-names":false,"suffix":""},{"dropping-particle":"","family":"Hodgson","given":"J G","non-dropping-particle":"","parse-names":false,"suffix":""},{"dropping-particle":"","family":"Thompson","given":"K","non-dropping-particle":"","parse-names":false,"suffix":""},{"dropping-particle":"","family":"Morgan","given":"H D","non-dropping-particle":"","parse-names":false,"suffix":""},{"dropping-particle":"","family":"Steege","given":"H","non-dropping-particle":"ter","parse-names":false,"suffix":""},{"dropping-particle":"","family":"Sack","given":"L","non-dropping-particle":"","parse-names":false,"suffix":""},{"dropping-particle":"","family":"Blonder","given":"B","non-dropping-particle":"","parse-names":false,"suffix":""},{"dropping-particle":"","family":"Poschlod","given":"P","non-dropping-particle":"","parse-names":false,"suffix":""},{"dropping-particle":"V","family":"Vaieretti","given":"M","non-dropping-particle":"","parse-names":false,"suffix":""},{"dropping-particle":"","family":"Conti","given":"G","non-dropping-particle":"","parse-names":false,"suffix":""},{"dropping-particle":"","family":"Staver","given":"A C","non-dropping-particle":"","parse-names":false,"suffix":""},{"dropping-particle":"","family":"Aquino","given":"S","non-dropping-particle":"","parse-names":false,"suffix":""},{"dropping-particle":"","family":"Cornelissen","given":"J H C","non-dropping-particle":"","parse-names":false,"suffix":""}],"container-title":"Australian Journal of Botany","id":"ITEM-1","issue":"3","issued":{"date-parts":[["2013"]]},"page":"167-234","title":"New handbook for standardised measurement of plant functional traits worldwide","type":"article-journal","volume":"61"},"uris":["http://www.mendeley.com/documents/?uuid=293b9f8e-7f22-4d39-922f-ccdc959a9af0"]}],"mendeley":{"formattedCitation":"(Pérez-Harguindeguy et al. 2013)","plainTextFormattedCitation":"(Pérez-Harguindeguy et al. 2013)","previouslyFormattedCitation":"(Pérez-Harguindeguy et al. 2013)"},"properties":{"noteIndex":0},"schema":"https://github.com/citation-style-language/schema/raw/master/csl-citation.json"}</w:instrText>
      </w:r>
      <w:r w:rsidRPr="009F2FFD">
        <w:rPr>
          <w:rFonts w:ascii="Arial" w:hAnsi="Arial" w:cs="Arial"/>
        </w:rPr>
        <w:fldChar w:fldCharType="separate"/>
      </w:r>
      <w:bookmarkStart w:id="57" w:name="__Fieldmark__861_2580851028"/>
      <w:bookmarkStart w:id="58" w:name="__Fieldmark__462_3437287712"/>
      <w:bookmarkStart w:id="59" w:name="__Fieldmark__2916_2885770120"/>
      <w:bookmarkStart w:id="60" w:name="__Fieldmark__9853_2364063745"/>
      <w:r w:rsidR="004373E3" w:rsidRPr="004373E3">
        <w:rPr>
          <w:rFonts w:ascii="Arial" w:hAnsi="Arial" w:cs="Arial"/>
          <w:noProof/>
        </w:rPr>
        <w:t>(Pérez-Harguindeguy et al. 2013)</w:t>
      </w:r>
      <w:r w:rsidRPr="009F2FFD">
        <w:rPr>
          <w:rFonts w:ascii="Arial" w:hAnsi="Arial" w:cs="Arial"/>
        </w:rPr>
        <w:fldChar w:fldCharType="end"/>
      </w:r>
      <w:bookmarkEnd w:id="57"/>
      <w:bookmarkEnd w:id="58"/>
      <w:bookmarkEnd w:id="59"/>
      <w:bookmarkEnd w:id="60"/>
      <w:r w:rsidRPr="009F2FFD">
        <w:rPr>
          <w:rFonts w:ascii="Arial" w:hAnsi="Arial" w:cs="Arial"/>
        </w:rPr>
        <w:t>, dispersion syndrome (</w:t>
      </w:r>
      <w:proofErr w:type="spellStart"/>
      <w:r w:rsidRPr="009F2FFD">
        <w:rPr>
          <w:rFonts w:ascii="Arial" w:hAnsi="Arial" w:cs="Arial"/>
        </w:rPr>
        <w:t>zoochoric</w:t>
      </w:r>
      <w:proofErr w:type="spellEnd"/>
      <w:r w:rsidRPr="009F2FFD">
        <w:rPr>
          <w:rFonts w:ascii="Arial" w:hAnsi="Arial" w:cs="Arial"/>
        </w:rPr>
        <w:t xml:space="preserve">, </w:t>
      </w:r>
      <w:proofErr w:type="spellStart"/>
      <w:r w:rsidRPr="009F2FFD">
        <w:rPr>
          <w:rFonts w:ascii="Arial" w:hAnsi="Arial" w:cs="Arial"/>
        </w:rPr>
        <w:t>anemoch</w:t>
      </w:r>
      <w:r w:rsidR="00440EB6">
        <w:rPr>
          <w:rFonts w:ascii="Arial" w:hAnsi="Arial" w:cs="Arial"/>
        </w:rPr>
        <w:t>o</w:t>
      </w:r>
      <w:r w:rsidRPr="009F2FFD">
        <w:rPr>
          <w:rFonts w:ascii="Arial" w:hAnsi="Arial" w:cs="Arial"/>
        </w:rPr>
        <w:t>ric</w:t>
      </w:r>
      <w:proofErr w:type="spellEnd"/>
      <w:r w:rsidRPr="009F2FFD">
        <w:rPr>
          <w:rFonts w:ascii="Arial" w:hAnsi="Arial" w:cs="Arial"/>
        </w:rPr>
        <w:t xml:space="preserve"> and </w:t>
      </w:r>
      <w:proofErr w:type="spellStart"/>
      <w:r w:rsidRPr="009F2FFD">
        <w:rPr>
          <w:rFonts w:ascii="Arial" w:hAnsi="Arial" w:cs="Arial"/>
        </w:rPr>
        <w:t>autochoric</w:t>
      </w:r>
      <w:proofErr w:type="spellEnd"/>
      <w:r w:rsidRPr="009F2FFD">
        <w:rPr>
          <w:rFonts w:ascii="Arial" w:hAnsi="Arial" w:cs="Arial"/>
        </w:rPr>
        <w:t xml:space="preserve"> species), fruit type (dry dehiscent, dry indehiscent, drupe, berry, pome, aggregate</w:t>
      </w:r>
      <w:r w:rsidR="00440EB6">
        <w:rPr>
          <w:rFonts w:ascii="Arial" w:hAnsi="Arial" w:cs="Arial"/>
        </w:rPr>
        <w:t>,</w:t>
      </w:r>
      <w:r w:rsidRPr="009F2FFD">
        <w:rPr>
          <w:rFonts w:ascii="Arial" w:hAnsi="Arial" w:cs="Arial"/>
        </w:rPr>
        <w:t xml:space="preserve"> and multiple fruits) and fruit size. Fruit sizes for species not found in fruiting stages during </w:t>
      </w:r>
      <w:r>
        <w:rPr>
          <w:rFonts w:ascii="Arial" w:hAnsi="Arial" w:cs="Arial"/>
        </w:rPr>
        <w:t xml:space="preserve">the </w:t>
      </w:r>
      <w:r w:rsidRPr="009F2FFD">
        <w:rPr>
          <w:rFonts w:ascii="Arial" w:hAnsi="Arial" w:cs="Arial"/>
        </w:rPr>
        <w:t>field mission were gathered from herbarium exsiccate</w:t>
      </w:r>
      <w:r>
        <w:rPr>
          <w:rFonts w:ascii="Arial" w:hAnsi="Arial" w:cs="Arial"/>
        </w:rPr>
        <w:t>s</w:t>
      </w:r>
      <w:r w:rsidRPr="009F2FFD">
        <w:rPr>
          <w:rFonts w:ascii="Arial" w:hAnsi="Arial" w:cs="Arial"/>
        </w:rPr>
        <w:t xml:space="preserve"> (VIC, MG, online FMNH collection), before fruits were categorized in a way that each category shows approximately the same number of species (very small: &lt; 0.4 cm, small 0.4-1.0 cm, medium: 1.0-2.5 cm, large: 2.5-7 cm and very large: &gt; 7cm). Then, indices of functional diversity were calculated using </w:t>
      </w:r>
      <w:r>
        <w:rPr>
          <w:rFonts w:ascii="Arial" w:hAnsi="Arial" w:cs="Arial"/>
        </w:rPr>
        <w:t>‘</w:t>
      </w:r>
      <w:proofErr w:type="spellStart"/>
      <w:r w:rsidRPr="009F2FFD">
        <w:rPr>
          <w:rFonts w:ascii="Arial" w:hAnsi="Arial" w:cs="Arial"/>
        </w:rPr>
        <w:t>dbFD</w:t>
      </w:r>
      <w:proofErr w:type="spellEnd"/>
      <w:r>
        <w:rPr>
          <w:rFonts w:ascii="Arial" w:hAnsi="Arial" w:cs="Arial"/>
        </w:rPr>
        <w:t>’</w:t>
      </w:r>
      <w:r w:rsidRPr="009F2FFD">
        <w:rPr>
          <w:rFonts w:ascii="Arial" w:hAnsi="Arial" w:cs="Arial"/>
        </w:rPr>
        <w:t xml:space="preserve"> function from FD package </w:t>
      </w:r>
      <w:r w:rsidRPr="009F2FFD">
        <w:rPr>
          <w:rFonts w:ascii="Arial" w:hAnsi="Arial" w:cs="Arial"/>
        </w:rPr>
        <w:fldChar w:fldCharType="begin" w:fldLock="1"/>
      </w:r>
      <w:r w:rsidR="00A8006D">
        <w:rPr>
          <w:rFonts w:ascii="Arial" w:hAnsi="Arial" w:cs="Arial"/>
        </w:rPr>
        <w:instrText>ADDIN CSL_CITATION {"citationItems":[{"id":"ITEM-1","itemData":{"DOI":"10.1890/07-1206.1","ISSN":"0012-9658","abstract":"Functional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indices.","author":[{"dropping-particle":"","family":"Villéger","given":"Sébastien","non-dropping-particle":"","parse-names":false,"suffix":""},{"dropping-particle":"","family":"Mason","given":"Norman W H","non-dropping-particle":"","parse-names":false,"suffix":""},{"dropping-particle":"","family":"Mouillot","given":"David","non-dropping-particle":"","parse-names":false,"suffix":""}],"container-title":"Ecology","id":"ITEM-1","issue":"8","issued":{"date-parts":[["2008","8"]]},"page":"2290-2301","publisher":"Wiley-Blackwell","title":"NEW MULTIDIMENSIONAL FUNCTIONAL DIVERSITY INDICES FOR A MULTIFACETED FRAMEWORK IN FUNCTIONAL ECOLOGY","type":"article-journal","volume":"89"},"uris":["http://www.mendeley.com/documents/?uuid=02a06994-4cf3-4b53-8a3f-4ae3c6501083","http://www.mendeley.com/documents/?uuid=86b63eab-d2cf-4c24-8d25-f50d81340500"]}],"mendeley":{"formattedCitation":"(Villéger et al. 2008)","plainTextFormattedCitation":"(Villéger et al. 2008)","previouslyFormattedCitation":"(Villéger et al. 2008)"},"properties":{"noteIndex":0},"schema":"https://github.com/citation-style-language/schema/raw/master/csl-citation.json"}</w:instrText>
      </w:r>
      <w:r w:rsidRPr="009F2FFD">
        <w:rPr>
          <w:rFonts w:ascii="Arial" w:hAnsi="Arial" w:cs="Arial"/>
        </w:rPr>
        <w:fldChar w:fldCharType="separate"/>
      </w:r>
      <w:bookmarkStart w:id="61" w:name="__Fieldmark__884_2580851028"/>
      <w:bookmarkStart w:id="62" w:name="__Fieldmark__473_3437287712"/>
      <w:bookmarkStart w:id="63" w:name="__Fieldmark__2934_2885770120"/>
      <w:bookmarkStart w:id="64" w:name="__Fieldmark__9861_2364063745"/>
      <w:r w:rsidR="004373E3" w:rsidRPr="004373E3">
        <w:rPr>
          <w:rFonts w:ascii="Arial" w:hAnsi="Arial" w:cs="Arial"/>
          <w:noProof/>
        </w:rPr>
        <w:t>(Villéger et al. 2008)</w:t>
      </w:r>
      <w:r w:rsidRPr="009F2FFD">
        <w:rPr>
          <w:rFonts w:ascii="Arial" w:hAnsi="Arial" w:cs="Arial"/>
        </w:rPr>
        <w:fldChar w:fldCharType="end"/>
      </w:r>
      <w:bookmarkEnd w:id="61"/>
      <w:bookmarkEnd w:id="62"/>
      <w:bookmarkEnd w:id="63"/>
      <w:bookmarkEnd w:id="64"/>
      <w:r w:rsidRPr="009F2FFD">
        <w:rPr>
          <w:rFonts w:ascii="Arial" w:hAnsi="Arial" w:cs="Arial"/>
        </w:rPr>
        <w:t>.</w:t>
      </w:r>
    </w:p>
    <w:p w14:paraId="2D825F22" w14:textId="77777777" w:rsidR="004373E3" w:rsidRDefault="004373E3" w:rsidP="00CC27E9">
      <w:pPr>
        <w:spacing w:after="0" w:line="480" w:lineRule="auto"/>
        <w:jc w:val="both"/>
        <w:rPr>
          <w:rFonts w:ascii="Arial" w:hAnsi="Arial" w:cs="Arial"/>
        </w:rPr>
      </w:pPr>
    </w:p>
    <w:p w14:paraId="7D887988" w14:textId="77777777" w:rsidR="004373E3" w:rsidRPr="004373E3" w:rsidRDefault="004373E3" w:rsidP="00CC27E9">
      <w:pPr>
        <w:spacing w:after="0" w:line="480" w:lineRule="auto"/>
        <w:jc w:val="both"/>
        <w:rPr>
          <w:rFonts w:ascii="Arial" w:hAnsi="Arial" w:cs="Arial"/>
          <w:i/>
        </w:rPr>
      </w:pPr>
      <w:proofErr w:type="spellStart"/>
      <w:r w:rsidRPr="004373E3">
        <w:rPr>
          <w:rFonts w:ascii="Arial" w:hAnsi="Arial" w:cs="Arial"/>
          <w:i/>
        </w:rPr>
        <w:t>Metagenomic</w:t>
      </w:r>
      <w:proofErr w:type="spellEnd"/>
      <w:r w:rsidRPr="004373E3">
        <w:rPr>
          <w:rFonts w:ascii="Arial" w:hAnsi="Arial" w:cs="Arial"/>
          <w:i/>
        </w:rPr>
        <w:t xml:space="preserve"> analysis</w:t>
      </w:r>
    </w:p>
    <w:p w14:paraId="77AB62F8" w14:textId="71CB4155" w:rsidR="00CC27E9" w:rsidRPr="009F2FFD" w:rsidRDefault="00CC27E9" w:rsidP="00CC27E9">
      <w:pPr>
        <w:spacing w:after="0" w:line="480" w:lineRule="auto"/>
        <w:jc w:val="both"/>
        <w:rPr>
          <w:rFonts w:ascii="Arial" w:hAnsi="Arial" w:cs="Arial"/>
        </w:rPr>
      </w:pPr>
      <w:r w:rsidRPr="009F2FFD">
        <w:rPr>
          <w:rFonts w:ascii="Arial" w:hAnsi="Arial" w:cs="Arial"/>
        </w:rPr>
        <w:t xml:space="preserve">Additionally, richness (S-MO) and Shannon diversity (DIV-MO) of soil microorganisms derived from </w:t>
      </w:r>
      <w:r w:rsidR="00440EB6">
        <w:rPr>
          <w:rFonts w:ascii="Arial" w:hAnsi="Arial" w:cs="Arial"/>
        </w:rPr>
        <w:t xml:space="preserve">the </w:t>
      </w:r>
      <w:proofErr w:type="spellStart"/>
      <w:r w:rsidRPr="009F2FFD">
        <w:rPr>
          <w:rFonts w:ascii="Arial" w:hAnsi="Arial" w:cs="Arial"/>
        </w:rPr>
        <w:t>metagenomic</w:t>
      </w:r>
      <w:proofErr w:type="spellEnd"/>
      <w:r w:rsidRPr="009F2FFD">
        <w:rPr>
          <w:rFonts w:ascii="Arial" w:hAnsi="Arial" w:cs="Arial"/>
        </w:rPr>
        <w:t xml:space="preserve"> analysis were computed. For that, total DNA was extracted from 250 mg of superficial soil (depth 0-2 cm) from each plot using </w:t>
      </w:r>
      <w:r>
        <w:rPr>
          <w:rFonts w:ascii="Arial" w:hAnsi="Arial" w:cs="Arial"/>
        </w:rPr>
        <w:t xml:space="preserve">the </w:t>
      </w:r>
      <w:proofErr w:type="spellStart"/>
      <w:r w:rsidRPr="009F2FFD">
        <w:rPr>
          <w:rFonts w:ascii="Arial" w:hAnsi="Arial" w:cs="Arial"/>
        </w:rPr>
        <w:t>PowerSoil</w:t>
      </w:r>
      <w:proofErr w:type="spellEnd"/>
      <w:r w:rsidRPr="009F2FFD">
        <w:rPr>
          <w:rFonts w:ascii="Arial" w:hAnsi="Arial" w:cs="Arial"/>
        </w:rPr>
        <w:t xml:space="preserve"> DNA Isolation Kits (</w:t>
      </w:r>
      <w:proofErr w:type="spellStart"/>
      <w:r w:rsidRPr="009F2FFD">
        <w:rPr>
          <w:rFonts w:ascii="Arial" w:hAnsi="Arial" w:cs="Arial"/>
        </w:rPr>
        <w:t>Mobio</w:t>
      </w:r>
      <w:proofErr w:type="spellEnd"/>
      <w:r w:rsidRPr="009F2FFD">
        <w:rPr>
          <w:rFonts w:ascii="Arial" w:hAnsi="Arial" w:cs="Arial"/>
        </w:rPr>
        <w:t xml:space="preserve"> Laboratories, USA) following the manufacturer’s instructions. Shotgun </w:t>
      </w:r>
      <w:proofErr w:type="spellStart"/>
      <w:r w:rsidRPr="009F2FFD">
        <w:rPr>
          <w:rFonts w:ascii="Arial" w:hAnsi="Arial" w:cs="Arial"/>
        </w:rPr>
        <w:t>metagenomic</w:t>
      </w:r>
      <w:proofErr w:type="spellEnd"/>
      <w:r w:rsidRPr="009F2FFD">
        <w:rPr>
          <w:rFonts w:ascii="Arial" w:hAnsi="Arial" w:cs="Arial"/>
        </w:rPr>
        <w:t xml:space="preserve"> paired-end libraries were then constructed from 50 ng of pure DNA as described in</w:t>
      </w:r>
      <w:r w:rsidR="004E4440">
        <w:rPr>
          <w:rFonts w:ascii="Arial" w:hAnsi="Arial" w:cs="Arial"/>
        </w:rPr>
        <w:t xml:space="preserve"> </w:t>
      </w:r>
      <w:r w:rsidR="004E4440">
        <w:rPr>
          <w:rFonts w:ascii="Arial" w:hAnsi="Arial" w:cs="Arial"/>
        </w:rPr>
        <w:fldChar w:fldCharType="begin" w:fldLock="1"/>
      </w:r>
      <w:r w:rsidR="004E4440">
        <w:rPr>
          <w:rFonts w:ascii="Arial" w:hAnsi="Arial" w:cs="Arial"/>
        </w:rPr>
        <w:instrText>ADDIN CSL_CITATION {"citationItems":[{"id":"ITEM-1","itemData":{"author":[{"dropping-particle":"","family":"Gastauer","given":"Markus","non-dropping-particle":"","parse-names":false,"suffix":""},{"dropping-particle":"","family":"Vera","given":"Mabel Patricia Ortiz","non-dropping-particle":"","parse-names":false,"suffix":""},{"dropping-particle":"","family":"Souza","given":"Kleber Padovani","non-dropping-particle":"de","parse-names":false,"suffix":""},{"dropping-particle":"","family":"Pires","given":"Eder Soares","non-dropping-particle":"","parse-names":false,"suffix":""},{"dropping-particle":"","family":"Alves","given":"Ronnie","non-dropping-particle":"","parse-names":false,"suffix":""},{"dropping-particle":"","family":"Caldeira","given":"Cecílio Frois","non-dropping-particle":"","parse-names":false,"suffix":""},{"dropping-particle":"","family":"Ramos","given":"Silvio Junio","non-dropping-particle":"","parse-names":false,"suffix":""},{"dropping-particle":"","family":"Oliveira","given":"Guilherme","non-dropping-particle":"","parse-names":false,"suffix":""}],"container-title":"Scientific Data","id":"ITEM-1","issued":{"date-parts":[["2019","2","12"]]},"page":"190008","publisher":"The Author(s)","title":"A metagenomic survey of soil microbial communities along a rehabilitation chronosequence after iron ore mining","type":"article-journal","volume":"6"},"uris":["http://www.mendeley.com/documents/?uuid=2cef50e4-ca52-42b7-a7ff-53a3186ece7a"]}],"mendeley":{"formattedCitation":"(Gastauer et al. 2019)","manualFormatting":"Gastauer et al. (2019)","plainTextFormattedCitation":"(Gastauer et al. 2019)","previouslyFormattedCitation":"(Gastauer et al. 2019)"},"properties":{"noteIndex":0},"schema":"https://github.com/citation-style-language/schema/raw/master/csl-citation.json"}</w:instrText>
      </w:r>
      <w:r w:rsidR="004E4440">
        <w:rPr>
          <w:rFonts w:ascii="Arial" w:hAnsi="Arial" w:cs="Arial"/>
        </w:rPr>
        <w:fldChar w:fldCharType="separate"/>
      </w:r>
      <w:r w:rsidR="004E4440" w:rsidRPr="004E4440">
        <w:rPr>
          <w:rFonts w:ascii="Arial" w:hAnsi="Arial" w:cs="Arial"/>
          <w:noProof/>
        </w:rPr>
        <w:t xml:space="preserve">Gastauer et al. </w:t>
      </w:r>
      <w:r w:rsidR="004E4440">
        <w:rPr>
          <w:rFonts w:ascii="Arial" w:hAnsi="Arial" w:cs="Arial"/>
          <w:noProof/>
        </w:rPr>
        <w:t>(</w:t>
      </w:r>
      <w:r w:rsidR="004E4440" w:rsidRPr="004E4440">
        <w:rPr>
          <w:rFonts w:ascii="Arial" w:hAnsi="Arial" w:cs="Arial"/>
          <w:noProof/>
        </w:rPr>
        <w:t>2019)</w:t>
      </w:r>
      <w:r w:rsidR="004E4440">
        <w:rPr>
          <w:rFonts w:ascii="Arial" w:hAnsi="Arial" w:cs="Arial"/>
        </w:rPr>
        <w:fldChar w:fldCharType="end"/>
      </w:r>
      <w:r w:rsidRPr="009F2FFD">
        <w:rPr>
          <w:rFonts w:ascii="Arial" w:hAnsi="Arial" w:cs="Arial"/>
        </w:rPr>
        <w:t xml:space="preserve">. The sequencing was performed in the </w:t>
      </w:r>
      <w:proofErr w:type="spellStart"/>
      <w:r w:rsidRPr="009F2FFD">
        <w:rPr>
          <w:rFonts w:ascii="Arial" w:hAnsi="Arial" w:cs="Arial"/>
        </w:rPr>
        <w:t>NextSeq</w:t>
      </w:r>
      <w:proofErr w:type="spellEnd"/>
      <w:r w:rsidRPr="009F2FFD">
        <w:rPr>
          <w:rFonts w:ascii="Arial" w:hAnsi="Arial" w:cs="Arial"/>
        </w:rPr>
        <w:t xml:space="preserve"> 500 Illumina platform, and the Illumina paired-end reads were assembled using MEGAHIT v1.1.236. Subsequently, taxonomic classification was performed on protein</w:t>
      </w:r>
      <w:r w:rsidR="00440EB6">
        <w:rPr>
          <w:rFonts w:ascii="Arial" w:hAnsi="Arial" w:cs="Arial"/>
        </w:rPr>
        <w:t>-</w:t>
      </w:r>
      <w:r w:rsidRPr="009F2FFD">
        <w:rPr>
          <w:rFonts w:ascii="Arial" w:hAnsi="Arial" w:cs="Arial"/>
        </w:rPr>
        <w:t xml:space="preserve">coding sequences using Kaiju v.1.4.4 (running mode: greedy, with up to 5 substitutions; minimum match: 12; minimum match score: 70) </w:t>
      </w:r>
      <w:r w:rsidRPr="009F2FFD">
        <w:rPr>
          <w:rFonts w:ascii="Arial" w:hAnsi="Arial" w:cs="Arial"/>
        </w:rPr>
        <w:fldChar w:fldCharType="begin" w:fldLock="1"/>
      </w:r>
      <w:r w:rsidR="00A8006D">
        <w:rPr>
          <w:rFonts w:ascii="Arial" w:hAnsi="Arial" w:cs="Arial"/>
        </w:rPr>
        <w:instrText>ADDIN CSL_CITATION {"citationItems":[{"id":"ITEM-1","itemData":{"author":[{"dropping-particle":"","family":"Menzel","given":"Peter","non-dropping-particle":"","parse-names":false,"suffix":""},{"dropping-particle":"","family":"Ng","given":"Kim Lee","non-dropping-particle":"","parse-names":false,"suffix":""},{"dropping-particle":"","family":"Krogh","given":"Anders","non-dropping-particle":"","parse-names":false,"suffix":""}],"container-title":"Nature Communications","id":"ITEM-1","issued":{"date-parts":[["2016","4","13"]]},"page":"11257","publisher":"The Author(s)","title":"Fast and sensitive taxonomic classification for metagenomics with Kaiju","type":"article-journal","volume":"7"},"uris":["http://www.mendeley.com/documents/?uuid=ade4aa44-d3e6-4cf1-bd6f-8bc2ac1e269f"]}],"mendeley":{"formattedCitation":"(Menzel et al. 2016)","plainTextFormattedCitation":"(Menzel et al. 2016)","previouslyFormattedCitation":"(Menzel et al. 2016)"},"properties":{"noteIndex":0},"schema":"https://github.com/citation-style-language/schema/raw/master/csl-citation.json"}</w:instrText>
      </w:r>
      <w:r w:rsidRPr="009F2FFD">
        <w:rPr>
          <w:rFonts w:ascii="Arial" w:hAnsi="Arial" w:cs="Arial"/>
        </w:rPr>
        <w:fldChar w:fldCharType="separate"/>
      </w:r>
      <w:bookmarkStart w:id="65" w:name="__Fieldmark__923_2580851028"/>
      <w:bookmarkStart w:id="66" w:name="__Fieldmark__493_3437287712"/>
      <w:bookmarkStart w:id="67" w:name="__Fieldmark__2961_2885770120"/>
      <w:bookmarkStart w:id="68" w:name="__Fieldmark__9905_2364063745"/>
      <w:r w:rsidR="004373E3" w:rsidRPr="004373E3">
        <w:rPr>
          <w:rFonts w:ascii="Arial" w:hAnsi="Arial" w:cs="Arial"/>
          <w:noProof/>
        </w:rPr>
        <w:t>(Menzel et al. 2016)</w:t>
      </w:r>
      <w:r w:rsidRPr="009F2FFD">
        <w:rPr>
          <w:rFonts w:ascii="Arial" w:hAnsi="Arial" w:cs="Arial"/>
        </w:rPr>
        <w:fldChar w:fldCharType="end"/>
      </w:r>
      <w:bookmarkEnd w:id="65"/>
      <w:bookmarkEnd w:id="66"/>
      <w:bookmarkEnd w:id="67"/>
      <w:bookmarkEnd w:id="68"/>
      <w:r w:rsidRPr="009F2FFD">
        <w:rPr>
          <w:rFonts w:ascii="Arial" w:hAnsi="Arial" w:cs="Arial"/>
        </w:rPr>
        <w:t xml:space="preserve">. As </w:t>
      </w:r>
      <w:r w:rsidR="00440EB6">
        <w:rPr>
          <w:rFonts w:ascii="Arial" w:hAnsi="Arial" w:cs="Arial"/>
        </w:rPr>
        <w:t xml:space="preserve">a </w:t>
      </w:r>
      <w:r w:rsidRPr="009F2FFD">
        <w:rPr>
          <w:rFonts w:ascii="Arial" w:hAnsi="Arial" w:cs="Arial"/>
        </w:rPr>
        <w:t>reference database, we used the non-redundant NC</w:t>
      </w:r>
      <w:r w:rsidR="00440EB6">
        <w:rPr>
          <w:rFonts w:ascii="Arial" w:hAnsi="Arial" w:cs="Arial"/>
        </w:rPr>
        <w:t>B</w:t>
      </w:r>
      <w:r w:rsidRPr="009F2FFD">
        <w:rPr>
          <w:rFonts w:ascii="Arial" w:hAnsi="Arial" w:cs="Arial"/>
        </w:rPr>
        <w:t xml:space="preserve">I BLAST </w:t>
      </w:r>
      <w:r>
        <w:rPr>
          <w:rFonts w:ascii="Arial" w:hAnsi="Arial" w:cs="Arial"/>
        </w:rPr>
        <w:t>protein sequences (access on Dec</w:t>
      </w:r>
      <w:r w:rsidRPr="009F2FFD">
        <w:rPr>
          <w:rFonts w:ascii="Arial" w:hAnsi="Arial" w:cs="Arial"/>
        </w:rPr>
        <w:t xml:space="preserve">ember, 8th, 2016), containing 81M protein sequences from Bacteria, Archaea, and Viruses. From microorganisms identified </w:t>
      </w:r>
      <w:r>
        <w:rPr>
          <w:rFonts w:ascii="Arial" w:hAnsi="Arial" w:cs="Arial"/>
        </w:rPr>
        <w:t>up to the</w:t>
      </w:r>
      <w:r w:rsidRPr="009F2FFD">
        <w:rPr>
          <w:rFonts w:ascii="Arial" w:hAnsi="Arial" w:cs="Arial"/>
        </w:rPr>
        <w:t xml:space="preserve"> genus level, we computed per plot richness and Shannon diversity.</w:t>
      </w:r>
    </w:p>
    <w:p w14:paraId="0500BB02" w14:textId="77777777" w:rsidR="00CC27E9" w:rsidRDefault="00CC27E9" w:rsidP="00CC27E9">
      <w:pPr>
        <w:spacing w:after="0" w:line="480" w:lineRule="auto"/>
        <w:jc w:val="both"/>
        <w:rPr>
          <w:rFonts w:ascii="Arial" w:hAnsi="Arial" w:cs="Arial"/>
          <w:b/>
        </w:rPr>
      </w:pPr>
    </w:p>
    <w:p w14:paraId="0812F965" w14:textId="77777777" w:rsidR="004373E3" w:rsidRDefault="004373E3" w:rsidP="00CC27E9">
      <w:pPr>
        <w:spacing w:after="0" w:line="480" w:lineRule="auto"/>
        <w:jc w:val="both"/>
        <w:rPr>
          <w:rFonts w:ascii="Arial" w:hAnsi="Arial" w:cs="Arial"/>
          <w:b/>
        </w:rPr>
      </w:pPr>
    </w:p>
    <w:p w14:paraId="5AF65DF9" w14:textId="77777777" w:rsidR="004373E3" w:rsidRPr="00C75E8B" w:rsidRDefault="004373E3" w:rsidP="00CC27E9">
      <w:pPr>
        <w:spacing w:after="0" w:line="480" w:lineRule="auto"/>
        <w:jc w:val="both"/>
        <w:rPr>
          <w:rFonts w:ascii="Arial" w:hAnsi="Arial" w:cs="Arial"/>
          <w:i/>
        </w:rPr>
      </w:pPr>
      <w:r w:rsidRPr="00C75E8B">
        <w:rPr>
          <w:rFonts w:ascii="Arial" w:hAnsi="Arial" w:cs="Arial"/>
          <w:i/>
        </w:rPr>
        <w:t>References</w:t>
      </w:r>
    </w:p>
    <w:p w14:paraId="5F22D8BF" w14:textId="2C61D937" w:rsidR="004E4440" w:rsidRPr="004E4440" w:rsidRDefault="004373E3" w:rsidP="004E4440">
      <w:pPr>
        <w:widowControl w:val="0"/>
        <w:autoSpaceDE w:val="0"/>
        <w:autoSpaceDN w:val="0"/>
        <w:adjustRightInd w:val="0"/>
        <w:spacing w:after="0" w:line="480" w:lineRule="auto"/>
        <w:ind w:left="480" w:hanging="480"/>
        <w:rPr>
          <w:rFonts w:ascii="Arial" w:hAnsi="Arial" w:cs="Arial"/>
          <w:noProof/>
          <w:szCs w:val="24"/>
        </w:rPr>
      </w:pPr>
      <w:r>
        <w:rPr>
          <w:rFonts w:ascii="Arial" w:hAnsi="Arial" w:cs="Arial"/>
          <w:b/>
        </w:rPr>
        <w:fldChar w:fldCharType="begin" w:fldLock="1"/>
      </w:r>
      <w:r>
        <w:rPr>
          <w:rFonts w:ascii="Arial" w:hAnsi="Arial" w:cs="Arial"/>
          <w:b/>
        </w:rPr>
        <w:instrText xml:space="preserve">ADDIN Mendeley Bibliography CSL_BIBLIOGRAPHY </w:instrText>
      </w:r>
      <w:r>
        <w:rPr>
          <w:rFonts w:ascii="Arial" w:hAnsi="Arial" w:cs="Arial"/>
          <w:b/>
        </w:rPr>
        <w:fldChar w:fldCharType="separate"/>
      </w:r>
      <w:r w:rsidR="004E4440" w:rsidRPr="004E4440">
        <w:rPr>
          <w:rFonts w:ascii="Arial" w:hAnsi="Arial" w:cs="Arial"/>
          <w:noProof/>
          <w:szCs w:val="24"/>
        </w:rPr>
        <w:t>Alef K, Nannipieri PBT-M in ASM and B, eds. (1995) 5 - Estimation of microbial activities. In: Academic Press, London pp. 193–270.</w:t>
      </w:r>
    </w:p>
    <w:p w14:paraId="56E1F56C"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 xml:space="preserve">Anderson T-H, Domsch KH (1993) The metabolic quotient for CO2 (qCO2) as a specific activity parameter to assess the effects of environmental conditions, such as ph, on the microbial </w:t>
      </w:r>
      <w:r w:rsidRPr="004E4440">
        <w:rPr>
          <w:rFonts w:ascii="Arial" w:hAnsi="Arial" w:cs="Arial"/>
          <w:noProof/>
          <w:szCs w:val="24"/>
        </w:rPr>
        <w:lastRenderedPageBreak/>
        <w:t>biomass of forest soils. Soil Biology and Biochemistry 25:393–395</w:t>
      </w:r>
    </w:p>
    <w:p w14:paraId="35910880"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Chave J et al. (2003) Spatial and temporal variation of biomass in a tropical\rforest: results from a large census plot in Panama. 2003 91:240–252</w:t>
      </w:r>
    </w:p>
    <w:p w14:paraId="17FFEF4B"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Colwell RK et al. (2012) Models and estimators linking individual-based and sample-based rarefaction, extrapolation and comparison of assemblages. Journal of Plant Ecology 5:3–21</w:t>
      </w:r>
    </w:p>
    <w:p w14:paraId="508BCD16"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Dick RP, Breakwell DP, Turco RF (1996) Soil Enzyme Activities and Biodiversity Measurements as Integrative Microbiological Indicators. In: Methods for Assessing Soil Quality.SSSA Special Publication SV  - 49 Soil Science Society of America, Madison, WI pp. 247–271.</w:t>
      </w:r>
    </w:p>
    <w:p w14:paraId="1E47B1B7"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Faith DP (1992) Conservation evaluation and phylogenetic diversity. Biological Conservation 61:1–10</w:t>
      </w:r>
    </w:p>
    <w:p w14:paraId="3F798276"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Gastauer M et al. (2019) A metagenomic survey of soil microbial communities along a rehabilitation chronosequence after iron ore mining. Scientific Data 6:190008</w:t>
      </w:r>
    </w:p>
    <w:p w14:paraId="338EBF8F"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Gastauer M et al. (2018) Optimizing community trees using the open tree of life increases the reliability of phylogenetic diversity and dispersion indices. Ecological Informatics 0–1</w:t>
      </w:r>
    </w:p>
    <w:p w14:paraId="0657B0DC"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Magallón S et al. (2015) A metacalibrated time-tree documents the early rise of flowering plant phylogenetic diversity. New Phytologist 207:437–453</w:t>
      </w:r>
    </w:p>
    <w:p w14:paraId="6D28AE94"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Menzel P, Ng KL, Krogh A (2016) Fast and sensitive taxonomic classification for metagenomics with Kaiju. Nature Communications 7:11257</w:t>
      </w:r>
    </w:p>
    <w:p w14:paraId="4CBE489E"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Mouchet MA et al. (2010) Functional diversity measures: an overview of their redundancy and their ability to discriminate community assembly rules. Functional Ecology 24:867–876</w:t>
      </w:r>
    </w:p>
    <w:p w14:paraId="3AF4C21F"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Oksanen J et al. (2017) No Title. vegan: Community Ecology Package.</w:t>
      </w:r>
    </w:p>
    <w:p w14:paraId="5AC7E83E"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71609">
        <w:rPr>
          <w:rFonts w:ascii="Arial" w:hAnsi="Arial" w:cs="Arial"/>
          <w:noProof/>
          <w:szCs w:val="24"/>
          <w:lang w:val="pt-BR"/>
        </w:rPr>
        <w:t xml:space="preserve">Pérez-Harguindeguy N et al. </w:t>
      </w:r>
      <w:r w:rsidRPr="004E4440">
        <w:rPr>
          <w:rFonts w:ascii="Arial" w:hAnsi="Arial" w:cs="Arial"/>
          <w:noProof/>
          <w:szCs w:val="24"/>
        </w:rPr>
        <w:t>(2013) New handbook for standardised measurement of plant functional traits worldwide. Australian Journal of Botany 61:167–234</w:t>
      </w:r>
    </w:p>
    <w:p w14:paraId="42256937" w14:textId="77777777" w:rsidR="004E4440" w:rsidRPr="00471609" w:rsidRDefault="004E4440" w:rsidP="004E4440">
      <w:pPr>
        <w:widowControl w:val="0"/>
        <w:autoSpaceDE w:val="0"/>
        <w:autoSpaceDN w:val="0"/>
        <w:adjustRightInd w:val="0"/>
        <w:spacing w:after="0" w:line="480" w:lineRule="auto"/>
        <w:ind w:left="480" w:hanging="480"/>
        <w:rPr>
          <w:rFonts w:ascii="Arial" w:hAnsi="Arial" w:cs="Arial"/>
          <w:noProof/>
          <w:szCs w:val="24"/>
          <w:lang w:val="pt-BR"/>
        </w:rPr>
      </w:pPr>
      <w:r w:rsidRPr="004E4440">
        <w:rPr>
          <w:rFonts w:ascii="Arial" w:hAnsi="Arial" w:cs="Arial"/>
          <w:noProof/>
          <w:szCs w:val="24"/>
        </w:rPr>
        <w:t xml:space="preserve">Ruiz-Jaen MC, Aide TM (2005) Restoration Success: How Is It Being Measured? </w:t>
      </w:r>
      <w:r w:rsidRPr="00471609">
        <w:rPr>
          <w:rFonts w:ascii="Arial" w:hAnsi="Arial" w:cs="Arial"/>
          <w:noProof/>
          <w:szCs w:val="24"/>
          <w:lang w:val="pt-BR"/>
        </w:rPr>
        <w:t>Restoration Ecology 13:569–577</w:t>
      </w:r>
    </w:p>
    <w:p w14:paraId="304242E4" w14:textId="77777777" w:rsidR="004E4440" w:rsidRPr="00471609" w:rsidRDefault="004E4440" w:rsidP="004E4440">
      <w:pPr>
        <w:widowControl w:val="0"/>
        <w:autoSpaceDE w:val="0"/>
        <w:autoSpaceDN w:val="0"/>
        <w:adjustRightInd w:val="0"/>
        <w:spacing w:after="0" w:line="480" w:lineRule="auto"/>
        <w:ind w:left="480" w:hanging="480"/>
        <w:rPr>
          <w:rFonts w:ascii="Arial" w:hAnsi="Arial" w:cs="Arial"/>
          <w:noProof/>
          <w:szCs w:val="24"/>
          <w:lang w:val="pt-BR"/>
        </w:rPr>
      </w:pPr>
      <w:r w:rsidRPr="00471609">
        <w:rPr>
          <w:rFonts w:ascii="Arial" w:hAnsi="Arial" w:cs="Arial"/>
          <w:noProof/>
          <w:szCs w:val="24"/>
          <w:lang w:val="pt-BR"/>
        </w:rPr>
        <w:t>Silva FC (2009) Manual de análises químicas de solos, plantas e fertilizantes. Embrapa Solos, Rio de Janeiro</w:t>
      </w:r>
    </w:p>
    <w:p w14:paraId="790CEB7B"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71609">
        <w:rPr>
          <w:rFonts w:ascii="Arial" w:hAnsi="Arial" w:cs="Arial"/>
          <w:noProof/>
          <w:szCs w:val="24"/>
          <w:lang w:val="pt-BR"/>
        </w:rPr>
        <w:t xml:space="preserve">Tabatabai MA, Bremner JM (1972) Assay of urease activity in soils. </w:t>
      </w:r>
      <w:r w:rsidRPr="004E4440">
        <w:rPr>
          <w:rFonts w:ascii="Arial" w:hAnsi="Arial" w:cs="Arial"/>
          <w:noProof/>
          <w:szCs w:val="24"/>
        </w:rPr>
        <w:t>Soil Biology and Biochemistry 4:479–487</w:t>
      </w:r>
    </w:p>
    <w:p w14:paraId="7FB2D8E6"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lastRenderedPageBreak/>
        <w:t>Vance ED, Brookes PC, Jenkinson DS (1987) An extraction method for measuring soil microbial biomass C. Soil Biology and Biochemistry 19:703–707</w:t>
      </w:r>
    </w:p>
    <w:p w14:paraId="0B37DC47"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szCs w:val="24"/>
        </w:rPr>
      </w:pPr>
      <w:r w:rsidRPr="004E4440">
        <w:rPr>
          <w:rFonts w:ascii="Arial" w:hAnsi="Arial" w:cs="Arial"/>
          <w:noProof/>
          <w:szCs w:val="24"/>
        </w:rPr>
        <w:t>Villéger S, Mason NWH, Mouillot D (2008) NEW MULTIDIMENSIONAL FUNCTIONAL DIVERSITY INDICES FOR A MULTIFACETED FRAMEWORK IN FUNCTIONAL ECOLOGY. Ecology 89:2290–2301</w:t>
      </w:r>
    </w:p>
    <w:p w14:paraId="790A58D8" w14:textId="77777777" w:rsidR="004E4440" w:rsidRPr="004E4440" w:rsidRDefault="004E4440" w:rsidP="004E4440">
      <w:pPr>
        <w:widowControl w:val="0"/>
        <w:autoSpaceDE w:val="0"/>
        <w:autoSpaceDN w:val="0"/>
        <w:adjustRightInd w:val="0"/>
        <w:spacing w:after="0" w:line="480" w:lineRule="auto"/>
        <w:ind w:left="480" w:hanging="480"/>
        <w:rPr>
          <w:rFonts w:ascii="Arial" w:hAnsi="Arial" w:cs="Arial"/>
          <w:noProof/>
        </w:rPr>
      </w:pPr>
      <w:r w:rsidRPr="004E4440">
        <w:rPr>
          <w:rFonts w:ascii="Arial" w:hAnsi="Arial" w:cs="Arial"/>
          <w:noProof/>
          <w:szCs w:val="24"/>
        </w:rPr>
        <w:t>Wright SF, Upadhyaya A (1998) A survey of soils for aggregate stability and glomalin, a glycoprotein produced by hyphae of arbuscular mycorrhizal fungi. Plant and Soil 198:97–107</w:t>
      </w:r>
    </w:p>
    <w:p w14:paraId="1403337B" w14:textId="77777777" w:rsidR="004373E3" w:rsidRDefault="004373E3" w:rsidP="00CC27E9">
      <w:pPr>
        <w:spacing w:after="0" w:line="480" w:lineRule="auto"/>
        <w:jc w:val="both"/>
        <w:rPr>
          <w:rFonts w:ascii="Arial" w:hAnsi="Arial" w:cs="Arial"/>
          <w:b/>
        </w:rPr>
      </w:pPr>
      <w:r>
        <w:rPr>
          <w:rFonts w:ascii="Arial" w:hAnsi="Arial" w:cs="Arial"/>
          <w:b/>
        </w:rPr>
        <w:fldChar w:fldCharType="end"/>
      </w:r>
    </w:p>
    <w:p w14:paraId="59DABC0A" w14:textId="77777777" w:rsidR="004373E3" w:rsidRDefault="004373E3">
      <w:pPr>
        <w:rPr>
          <w:rFonts w:ascii="Arial" w:hAnsi="Arial" w:cs="Arial"/>
          <w:b/>
        </w:rPr>
      </w:pPr>
      <w:r>
        <w:rPr>
          <w:rFonts w:ascii="Arial" w:hAnsi="Arial" w:cs="Arial"/>
          <w:b/>
        </w:rPr>
        <w:br w:type="page"/>
      </w:r>
    </w:p>
    <w:p w14:paraId="376CBAFA" w14:textId="6581DC78" w:rsidR="00F521DD" w:rsidRDefault="00F521DD" w:rsidP="00471609">
      <w:pPr>
        <w:spacing w:after="0" w:line="480" w:lineRule="auto"/>
        <w:jc w:val="center"/>
        <w:rPr>
          <w:rFonts w:ascii="Arial" w:hAnsi="Arial" w:cs="Arial"/>
          <w:b/>
        </w:rPr>
      </w:pPr>
      <w:r w:rsidRPr="00F521DD">
        <w:rPr>
          <w:rFonts w:ascii="Arial" w:hAnsi="Arial" w:cs="Arial"/>
          <w:b/>
        </w:rPr>
        <w:lastRenderedPageBreak/>
        <w:t>Supplementary Material 3</w:t>
      </w:r>
    </w:p>
    <w:p w14:paraId="41F3E267" w14:textId="77777777" w:rsidR="00471609" w:rsidRDefault="00471609" w:rsidP="00471609">
      <w:pPr>
        <w:spacing w:after="0" w:line="480" w:lineRule="auto"/>
        <w:jc w:val="center"/>
        <w:rPr>
          <w:rFonts w:ascii="Arial" w:hAnsi="Arial" w:cs="Arial"/>
          <w:b/>
        </w:rPr>
      </w:pPr>
    </w:p>
    <w:p w14:paraId="614DDF83" w14:textId="77777777" w:rsidR="00225144" w:rsidRPr="000D64F7" w:rsidRDefault="00225144" w:rsidP="00225144">
      <w:pPr>
        <w:spacing w:after="0" w:line="480" w:lineRule="auto"/>
        <w:jc w:val="center"/>
        <w:rPr>
          <w:rFonts w:ascii="Arial" w:hAnsi="Arial" w:cs="Arial"/>
        </w:rPr>
      </w:pPr>
      <w:r w:rsidRPr="000D64F7">
        <w:rPr>
          <w:rFonts w:ascii="Arial" w:hAnsi="Arial" w:cs="Arial"/>
          <w:noProof/>
          <w:lang w:val="pt-BR" w:eastAsia="pt-BR"/>
        </w:rPr>
        <w:drawing>
          <wp:inline distT="0" distB="0" distL="0" distR="0" wp14:anchorId="5AF23AA3" wp14:editId="19C072D5">
            <wp:extent cx="4695674" cy="4813222"/>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40972" name="Picture 2"/>
                    <pic:cNvPicPr>
                      <a:picLocks noChangeAspect="1" noChangeArrowheads="1"/>
                    </pic:cNvPicPr>
                  </pic:nvPicPr>
                  <pic:blipFill>
                    <a:blip r:embed="rId8">
                      <a:extLst>
                        <a:ext uri="{28A0092B-C50C-407E-A947-70E740481C1C}">
                          <a14:useLocalDpi xmlns:a14="http://schemas.microsoft.com/office/drawing/2010/main" val="0"/>
                        </a:ext>
                      </a:extLst>
                    </a:blip>
                    <a:srcRect b="10397"/>
                    <a:stretch>
                      <a:fillRect/>
                    </a:stretch>
                  </pic:blipFill>
                  <pic:spPr bwMode="auto">
                    <a:xfrm>
                      <a:off x="0" y="0"/>
                      <a:ext cx="4699336" cy="4816975"/>
                    </a:xfrm>
                    <a:prstGeom prst="rect">
                      <a:avLst/>
                    </a:prstGeom>
                    <a:noFill/>
                    <a:ln>
                      <a:noFill/>
                    </a:ln>
                    <a:extLst>
                      <a:ext uri="{53640926-AAD7-44D8-BBD7-CCE9431645EC}">
                        <a14:shadowObscured xmlns:a14="http://schemas.microsoft.com/office/drawing/2010/main"/>
                      </a:ext>
                    </a:extLst>
                  </pic:spPr>
                </pic:pic>
              </a:graphicData>
            </a:graphic>
          </wp:inline>
        </w:drawing>
      </w:r>
    </w:p>
    <w:p w14:paraId="03848481" w14:textId="1EB186E1" w:rsidR="00225144" w:rsidRPr="000D64F7" w:rsidRDefault="00225144" w:rsidP="00225144">
      <w:pPr>
        <w:spacing w:after="0" w:line="480" w:lineRule="auto"/>
        <w:jc w:val="both"/>
        <w:rPr>
          <w:rFonts w:ascii="Arial" w:hAnsi="Arial" w:cs="Arial"/>
        </w:rPr>
      </w:pPr>
      <w:proofErr w:type="spellStart"/>
      <w:r w:rsidRPr="000D64F7">
        <w:rPr>
          <w:rFonts w:ascii="Arial" w:hAnsi="Arial" w:cs="Arial"/>
        </w:rPr>
        <w:t>Correlogram</w:t>
      </w:r>
      <w:proofErr w:type="spellEnd"/>
      <w:r w:rsidRPr="000D64F7">
        <w:rPr>
          <w:rFonts w:ascii="Arial" w:hAnsi="Arial" w:cs="Arial"/>
        </w:rPr>
        <w:t xml:space="preserve"> based on </w:t>
      </w:r>
      <w:r w:rsidRPr="000D64F7">
        <w:rPr>
          <w:rFonts w:ascii="Arial" w:eastAsia="Calibri" w:hAnsi="Arial" w:cs="Arial"/>
        </w:rPr>
        <w:t xml:space="preserve">the </w:t>
      </w:r>
      <w:r w:rsidRPr="000D64F7">
        <w:rPr>
          <w:rFonts w:ascii="Arial" w:hAnsi="Arial" w:cs="Arial"/>
        </w:rPr>
        <w:t>Spearman correlation coefficient among all</w:t>
      </w:r>
      <w:r>
        <w:rPr>
          <w:rFonts w:ascii="Arial" w:hAnsi="Arial" w:cs="Arial"/>
        </w:rPr>
        <w:t xml:space="preserve"> of the</w:t>
      </w:r>
      <w:r w:rsidRPr="000D64F7">
        <w:rPr>
          <w:rFonts w:ascii="Arial" w:hAnsi="Arial" w:cs="Arial"/>
        </w:rPr>
        <w:t xml:space="preserve"> analyzed variables grouped by </w:t>
      </w:r>
      <w:r>
        <w:rPr>
          <w:rFonts w:ascii="Arial" w:hAnsi="Arial" w:cs="Arial"/>
        </w:rPr>
        <w:t xml:space="preserve">the </w:t>
      </w:r>
      <w:r w:rsidRPr="000D64F7">
        <w:rPr>
          <w:rFonts w:ascii="Arial" w:hAnsi="Arial" w:cs="Arial"/>
        </w:rPr>
        <w:t xml:space="preserve">attributes proposed by </w:t>
      </w:r>
      <w:r w:rsidRPr="000D64F7">
        <w:rPr>
          <w:rFonts w:ascii="Arial" w:hAnsi="Arial" w:cs="Arial"/>
        </w:rPr>
        <w:fldChar w:fldCharType="begin" w:fldLock="1"/>
      </w:r>
      <w:r w:rsidR="004E4440">
        <w:rPr>
          <w:rFonts w:ascii="Arial" w:hAnsi="Arial" w:cs="Arial"/>
        </w:rPr>
        <w:instrText>ADDIN CSL_CITATION {"citationItems":[{"id":"ITEM-1","itemData":{"DOI":"10.1111/j.1526-100X.2005.00072.x","ISSN":"1061-2971","abstract":"Abstract The criteria of restoration success should be clearly established to evaluate restoration projects. Recently, the Society of Ecological Restoration International (SER) has produced a Primer that includes ecosystem attributes that should be considered when evaluating restoration success. To determine how restoration success has been evaluated in restoration projects, we reviewed articles published in Restoration Ecology (Vols. 1[1]?11[4]). Specifically, we addressed the following questions: (1) what measures of ecosystem attributes are assessed and (2) how are these measures used to determine restoration success. No study has measured all the SER Primer attributes, but most studies did include at least one measure in each of three general categories of the ecosystem attributes: diversity, vegetation structure, and ecological processes. Most of the reviewed studies are using multiple measures to evaluate restoration success, but we would encourage future projects to include: (1) at least two variables within each of the three ecosystem attributes that clearly related to ecosystem functioning and (2) at least two reference sites to capture the variation that exist in ecosystems.","author":[{"dropping-particle":"","family":"Ruiz-Jaen","given":"Maria C.","non-dropping-particle":"","parse-names":false,"suffix":""},{"dropping-particle":"","family":"Aide","given":"T. Mitchell","non-dropping-particle":"","parse-names":false,"suffix":""}],"container-title":"Restoration Ecology","id":"ITEM-1","issue":"3","issued":{"date-parts":[["2005","8","15"]]},"note":"doi: 10.1111/j.1526-100X.2005.00072.x","page":"569-577","publisher":"Wiley/Blackwell (10.1111)","title":"Restoration Success: How Is It Being Measured?","type":"article-journal","volume":"13"},"uris":["http://www.mendeley.com/documents/?uuid=f91e1ca0-0fd0-430c-a5f3-74d3d17f7e10"]}],"mendeley":{"formattedCitation":"(Ruiz-Jaen &amp; Aide 2005)","manualFormatting":"Ruiz-Jaen and Aide (2005)","plainTextFormattedCitation":"(Ruiz-Jaen &amp; Aide 2005)","previouslyFormattedCitation":"(Ruiz-Jaen &amp; Aide 2005)"},"properties":{"noteIndex":0},"schema":"https://github.com/citation-style-language/schema/raw/master/csl-citation.json"}</w:instrText>
      </w:r>
      <w:r w:rsidRPr="000D64F7">
        <w:rPr>
          <w:rFonts w:ascii="Arial" w:hAnsi="Arial" w:cs="Arial"/>
        </w:rPr>
        <w:fldChar w:fldCharType="separate"/>
      </w:r>
      <w:bookmarkStart w:id="69" w:name="__Fieldmark__1109_2580851028"/>
      <w:r w:rsidRPr="000D64F7">
        <w:rPr>
          <w:rFonts w:ascii="Arial" w:hAnsi="Arial" w:cs="Arial"/>
          <w:noProof/>
        </w:rPr>
        <w:t>R</w:t>
      </w:r>
      <w:bookmarkStart w:id="70" w:name="__Fieldmark__555_3437287712"/>
      <w:r w:rsidRPr="000D64F7">
        <w:rPr>
          <w:rFonts w:ascii="Arial" w:hAnsi="Arial" w:cs="Arial"/>
          <w:noProof/>
        </w:rPr>
        <w:t>u</w:t>
      </w:r>
      <w:bookmarkStart w:id="71" w:name="__Fieldmark__3115_2885770120"/>
      <w:r w:rsidRPr="000D64F7">
        <w:rPr>
          <w:rFonts w:ascii="Arial" w:hAnsi="Arial" w:cs="Arial"/>
          <w:noProof/>
        </w:rPr>
        <w:t>i</w:t>
      </w:r>
      <w:bookmarkStart w:id="72" w:name="__Fieldmark__10117_2364063745"/>
      <w:r w:rsidRPr="000D64F7">
        <w:rPr>
          <w:rFonts w:ascii="Arial" w:hAnsi="Arial" w:cs="Arial"/>
          <w:noProof/>
        </w:rPr>
        <w:t>z-Jaen and Aide (2005)</w:t>
      </w:r>
      <w:r w:rsidRPr="000D64F7">
        <w:rPr>
          <w:rFonts w:ascii="Arial" w:hAnsi="Arial" w:cs="Arial"/>
        </w:rPr>
        <w:fldChar w:fldCharType="end"/>
      </w:r>
      <w:bookmarkEnd w:id="69"/>
      <w:bookmarkEnd w:id="70"/>
      <w:bookmarkEnd w:id="71"/>
      <w:bookmarkEnd w:id="72"/>
      <w:r w:rsidRPr="000D64F7">
        <w:rPr>
          <w:rFonts w:ascii="Arial" w:hAnsi="Arial" w:cs="Arial"/>
        </w:rPr>
        <w:t>. The larger the points</w:t>
      </w:r>
      <w:r>
        <w:rPr>
          <w:rFonts w:ascii="Arial" w:hAnsi="Arial" w:cs="Arial"/>
        </w:rPr>
        <w:t xml:space="preserve"> are</w:t>
      </w:r>
      <w:r w:rsidRPr="000D64F7">
        <w:rPr>
          <w:rFonts w:ascii="Arial" w:hAnsi="Arial" w:cs="Arial"/>
        </w:rPr>
        <w:t xml:space="preserve">, the higher the correlation between both variables. Empty quadrats indicate that </w:t>
      </w:r>
      <w:r>
        <w:rPr>
          <w:rFonts w:ascii="Arial" w:hAnsi="Arial" w:cs="Arial"/>
        </w:rPr>
        <w:t xml:space="preserve">the </w:t>
      </w:r>
      <w:r w:rsidRPr="000D64F7">
        <w:rPr>
          <w:rFonts w:ascii="Arial" w:hAnsi="Arial" w:cs="Arial"/>
        </w:rPr>
        <w:t xml:space="preserve">correlation is not significant </w:t>
      </w:r>
      <w:r>
        <w:rPr>
          <w:rFonts w:ascii="Arial" w:hAnsi="Arial" w:cs="Arial"/>
        </w:rPr>
        <w:t>at</w:t>
      </w:r>
      <w:r w:rsidRPr="000D64F7">
        <w:rPr>
          <w:rFonts w:ascii="Arial" w:hAnsi="Arial" w:cs="Arial"/>
        </w:rPr>
        <w:t xml:space="preserve"> p = 0.05. For abbreviations of </w:t>
      </w:r>
      <w:r>
        <w:rPr>
          <w:rFonts w:ascii="Arial" w:hAnsi="Arial" w:cs="Arial"/>
        </w:rPr>
        <w:t xml:space="preserve">the </w:t>
      </w:r>
      <w:r w:rsidRPr="000D64F7">
        <w:rPr>
          <w:rFonts w:ascii="Arial" w:hAnsi="Arial" w:cs="Arial"/>
        </w:rPr>
        <w:t>variables, see Table 1.</w:t>
      </w:r>
    </w:p>
    <w:p w14:paraId="0DDBE929" w14:textId="77777777" w:rsidR="00225144" w:rsidRDefault="00225144" w:rsidP="00CC27E9">
      <w:pPr>
        <w:spacing w:after="0" w:line="480" w:lineRule="auto"/>
        <w:jc w:val="both"/>
        <w:rPr>
          <w:rFonts w:ascii="Arial" w:hAnsi="Arial" w:cs="Arial"/>
          <w:b/>
        </w:rPr>
      </w:pPr>
    </w:p>
    <w:p w14:paraId="488C8862" w14:textId="77777777" w:rsidR="00225144" w:rsidRDefault="00225144">
      <w:pPr>
        <w:rPr>
          <w:rFonts w:ascii="Arial" w:hAnsi="Arial" w:cs="Arial"/>
          <w:b/>
        </w:rPr>
      </w:pPr>
      <w:r>
        <w:rPr>
          <w:rFonts w:ascii="Arial" w:hAnsi="Arial" w:cs="Arial"/>
          <w:b/>
        </w:rPr>
        <w:br w:type="page"/>
      </w:r>
    </w:p>
    <w:p w14:paraId="5259042C" w14:textId="0FCD0466" w:rsidR="00225144" w:rsidRDefault="00225144" w:rsidP="00471609">
      <w:pPr>
        <w:spacing w:after="0" w:line="480" w:lineRule="auto"/>
        <w:jc w:val="center"/>
        <w:rPr>
          <w:rFonts w:ascii="Arial" w:hAnsi="Arial" w:cs="Arial"/>
          <w:b/>
        </w:rPr>
      </w:pPr>
      <w:r w:rsidRPr="00F521DD">
        <w:rPr>
          <w:rFonts w:ascii="Arial" w:hAnsi="Arial" w:cs="Arial"/>
          <w:b/>
        </w:rPr>
        <w:lastRenderedPageBreak/>
        <w:t xml:space="preserve">Supplementary Material </w:t>
      </w:r>
      <w:r>
        <w:rPr>
          <w:rFonts w:ascii="Arial" w:hAnsi="Arial" w:cs="Arial"/>
          <w:b/>
        </w:rPr>
        <w:t>4</w:t>
      </w:r>
    </w:p>
    <w:p w14:paraId="472E89B5" w14:textId="77777777" w:rsidR="00471609" w:rsidRPr="00F521DD" w:rsidRDefault="00471609" w:rsidP="00471609">
      <w:pPr>
        <w:spacing w:after="0" w:line="480" w:lineRule="auto"/>
        <w:jc w:val="center"/>
        <w:rPr>
          <w:rFonts w:ascii="Arial" w:hAnsi="Arial" w:cs="Arial"/>
          <w:b/>
        </w:rPr>
      </w:pPr>
    </w:p>
    <w:p w14:paraId="3C01ED64" w14:textId="77777777" w:rsidR="00CC27E9" w:rsidRPr="009F2FFD" w:rsidRDefault="00CC27E9" w:rsidP="00CC27E9">
      <w:pPr>
        <w:spacing w:after="0" w:line="480" w:lineRule="auto"/>
        <w:jc w:val="both"/>
        <w:rPr>
          <w:rFonts w:ascii="Arial" w:hAnsi="Arial" w:cs="Arial"/>
        </w:rPr>
      </w:pPr>
      <w:r w:rsidRPr="009F2FFD">
        <w:rPr>
          <w:rFonts w:ascii="Arial" w:hAnsi="Arial" w:cs="Arial"/>
          <w:noProof/>
          <w:lang w:val="pt-BR" w:eastAsia="pt-BR"/>
        </w:rPr>
        <w:drawing>
          <wp:inline distT="0" distB="0" distL="0" distR="0" wp14:anchorId="07021346" wp14:editId="75AA1940">
            <wp:extent cx="5400040" cy="5386705"/>
            <wp:effectExtent l="0" t="0" r="0" b="0"/>
            <wp:docPr id="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pic:cNvPicPr>
                      <a:picLocks noChangeAspect="1" noChangeArrowheads="1"/>
                    </pic:cNvPicPr>
                  </pic:nvPicPr>
                  <pic:blipFill>
                    <a:blip r:embed="rId9"/>
                    <a:stretch>
                      <a:fillRect/>
                    </a:stretch>
                  </pic:blipFill>
                  <pic:spPr bwMode="auto">
                    <a:xfrm>
                      <a:off x="0" y="0"/>
                      <a:ext cx="5400040" cy="5386705"/>
                    </a:xfrm>
                    <a:prstGeom prst="rect">
                      <a:avLst/>
                    </a:prstGeom>
                  </pic:spPr>
                </pic:pic>
              </a:graphicData>
            </a:graphic>
          </wp:inline>
        </w:drawing>
      </w:r>
    </w:p>
    <w:p w14:paraId="30FCF443" w14:textId="77777777" w:rsidR="00CC27E9" w:rsidRPr="009F2FFD" w:rsidRDefault="00CC27E9" w:rsidP="00CC27E9">
      <w:pPr>
        <w:spacing w:after="0" w:line="480" w:lineRule="auto"/>
        <w:jc w:val="both"/>
        <w:rPr>
          <w:rFonts w:ascii="Arial" w:hAnsi="Arial" w:cs="Arial"/>
        </w:rPr>
      </w:pPr>
      <w:r w:rsidRPr="009F2FFD">
        <w:rPr>
          <w:rFonts w:ascii="Arial" w:hAnsi="Arial" w:cs="Arial"/>
        </w:rPr>
        <w:t xml:space="preserve">Principal coordinate analysis of different subsets of environmental variables </w:t>
      </w:r>
      <w:r>
        <w:rPr>
          <w:rFonts w:ascii="Arial" w:hAnsi="Arial" w:cs="Arial"/>
        </w:rPr>
        <w:t>from</w:t>
      </w:r>
      <w:r w:rsidRPr="009F2FFD">
        <w:rPr>
          <w:rFonts w:ascii="Arial" w:hAnsi="Arial" w:cs="Arial"/>
        </w:rPr>
        <w:t xml:space="preserve"> non-rehabilitated</w:t>
      </w:r>
      <w:r>
        <w:rPr>
          <w:rFonts w:ascii="Arial" w:hAnsi="Arial" w:cs="Arial"/>
        </w:rPr>
        <w:t xml:space="preserve"> (NR)</w:t>
      </w:r>
      <w:r w:rsidRPr="009F2FFD">
        <w:rPr>
          <w:rFonts w:ascii="Arial" w:hAnsi="Arial" w:cs="Arial"/>
        </w:rPr>
        <w:t xml:space="preserve">, rehabilitating </w:t>
      </w:r>
      <w:r>
        <w:rPr>
          <w:rFonts w:ascii="Arial" w:hAnsi="Arial" w:cs="Arial"/>
        </w:rPr>
        <w:t>(</w:t>
      </w:r>
      <w:proofErr w:type="spellStart"/>
      <w:r>
        <w:rPr>
          <w:rFonts w:ascii="Arial" w:hAnsi="Arial" w:cs="Arial"/>
        </w:rPr>
        <w:t>Reh</w:t>
      </w:r>
      <w:proofErr w:type="spellEnd"/>
      <w:r>
        <w:rPr>
          <w:rFonts w:ascii="Arial" w:hAnsi="Arial" w:cs="Arial"/>
        </w:rPr>
        <w:t xml:space="preserve">) </w:t>
      </w:r>
      <w:r w:rsidRPr="009F2FFD">
        <w:rPr>
          <w:rFonts w:ascii="Arial" w:hAnsi="Arial" w:cs="Arial"/>
        </w:rPr>
        <w:t xml:space="preserve">and reference study sites </w:t>
      </w:r>
      <w:r>
        <w:rPr>
          <w:rFonts w:ascii="Arial" w:hAnsi="Arial" w:cs="Arial"/>
        </w:rPr>
        <w:t xml:space="preserve">(Ref) </w:t>
      </w:r>
      <w:r w:rsidRPr="009F2FFD">
        <w:rPr>
          <w:rFonts w:ascii="Arial" w:hAnsi="Arial" w:cs="Arial"/>
        </w:rPr>
        <w:t xml:space="preserve">from iron ore mines from </w:t>
      </w:r>
      <w:proofErr w:type="spellStart"/>
      <w:r w:rsidRPr="009F2FFD">
        <w:rPr>
          <w:rFonts w:ascii="Arial" w:hAnsi="Arial" w:cs="Arial"/>
        </w:rPr>
        <w:t>Corumbá</w:t>
      </w:r>
      <w:proofErr w:type="spellEnd"/>
      <w:r w:rsidRPr="009F2FFD">
        <w:rPr>
          <w:rFonts w:ascii="Arial" w:hAnsi="Arial" w:cs="Arial"/>
        </w:rPr>
        <w:t xml:space="preserve">, </w:t>
      </w:r>
      <w:proofErr w:type="spellStart"/>
      <w:r w:rsidRPr="009F2FFD">
        <w:rPr>
          <w:rFonts w:ascii="Arial" w:hAnsi="Arial" w:cs="Arial"/>
        </w:rPr>
        <w:t>Mato</w:t>
      </w:r>
      <w:proofErr w:type="spellEnd"/>
      <w:r w:rsidRPr="009F2FFD">
        <w:rPr>
          <w:rFonts w:ascii="Arial" w:hAnsi="Arial" w:cs="Arial"/>
        </w:rPr>
        <w:t xml:space="preserve"> Grosso do </w:t>
      </w:r>
      <w:proofErr w:type="spellStart"/>
      <w:r w:rsidRPr="009F2FFD">
        <w:rPr>
          <w:rFonts w:ascii="Arial" w:hAnsi="Arial" w:cs="Arial"/>
        </w:rPr>
        <w:t>Sul</w:t>
      </w:r>
      <w:proofErr w:type="spellEnd"/>
      <w:r w:rsidRPr="009F2FFD">
        <w:rPr>
          <w:rFonts w:ascii="Arial" w:hAnsi="Arial" w:cs="Arial"/>
        </w:rPr>
        <w:t>, Bra</w:t>
      </w:r>
      <w:r>
        <w:rPr>
          <w:rFonts w:ascii="Arial" w:hAnsi="Arial" w:cs="Arial"/>
        </w:rPr>
        <w:t>z</w:t>
      </w:r>
      <w:r w:rsidRPr="009F2FFD">
        <w:rPr>
          <w:rFonts w:ascii="Arial" w:hAnsi="Arial" w:cs="Arial"/>
        </w:rPr>
        <w:t>il. Red quadrats represent plots from non-rehabilitated sites, blue circles are plots from rehabilitating sites</w:t>
      </w:r>
      <w:r w:rsidR="00440EB6">
        <w:rPr>
          <w:rFonts w:ascii="Arial" w:hAnsi="Arial" w:cs="Arial"/>
        </w:rPr>
        <w:t>,</w:t>
      </w:r>
      <w:r w:rsidRPr="009F2FFD">
        <w:rPr>
          <w:rFonts w:ascii="Arial" w:hAnsi="Arial" w:cs="Arial"/>
        </w:rPr>
        <w:t xml:space="preserve"> and green diamonds represent reference sites covered by natural vegetation. </w:t>
      </w:r>
    </w:p>
    <w:p w14:paraId="73338D7F" w14:textId="77777777" w:rsidR="00C75E8B" w:rsidRDefault="00C75E8B">
      <w:pPr>
        <w:rPr>
          <w:rFonts w:ascii="Arial" w:hAnsi="Arial" w:cs="Arial"/>
        </w:rPr>
      </w:pPr>
      <w:r>
        <w:rPr>
          <w:rFonts w:ascii="Arial" w:hAnsi="Arial" w:cs="Arial"/>
        </w:rPr>
        <w:br w:type="page"/>
      </w:r>
    </w:p>
    <w:p w14:paraId="1BC83534" w14:textId="55A9FD3D" w:rsidR="00C75E8B" w:rsidRDefault="00C75E8B" w:rsidP="00471609">
      <w:pPr>
        <w:spacing w:after="0" w:line="480" w:lineRule="auto"/>
        <w:jc w:val="center"/>
        <w:rPr>
          <w:rFonts w:ascii="Arial" w:hAnsi="Arial" w:cs="Arial"/>
          <w:b/>
        </w:rPr>
      </w:pPr>
      <w:r w:rsidRPr="00C75E8B">
        <w:rPr>
          <w:rFonts w:ascii="Arial" w:hAnsi="Arial" w:cs="Arial"/>
          <w:b/>
        </w:rPr>
        <w:lastRenderedPageBreak/>
        <w:t xml:space="preserve">Supplementary Material </w:t>
      </w:r>
      <w:r w:rsidR="00225144">
        <w:rPr>
          <w:rFonts w:ascii="Arial" w:hAnsi="Arial" w:cs="Arial"/>
          <w:b/>
        </w:rPr>
        <w:t>5</w:t>
      </w:r>
    </w:p>
    <w:p w14:paraId="7564F66E" w14:textId="77777777" w:rsidR="00471609" w:rsidRPr="00C75E8B" w:rsidRDefault="00471609" w:rsidP="00471609">
      <w:pPr>
        <w:spacing w:after="0" w:line="480" w:lineRule="auto"/>
        <w:jc w:val="center"/>
        <w:rPr>
          <w:rFonts w:ascii="Arial" w:hAnsi="Arial" w:cs="Arial"/>
          <w:b/>
        </w:rPr>
      </w:pPr>
    </w:p>
    <w:p w14:paraId="6AADCD4D" w14:textId="77777777" w:rsidR="00C75E8B" w:rsidRPr="009F2FFD" w:rsidRDefault="00C75E8B" w:rsidP="00C75E8B">
      <w:pPr>
        <w:spacing w:after="0" w:line="480" w:lineRule="auto"/>
        <w:jc w:val="both"/>
        <w:rPr>
          <w:rFonts w:ascii="Arial" w:hAnsi="Arial" w:cs="Arial"/>
        </w:rPr>
      </w:pPr>
      <w:r w:rsidRPr="009F2FFD">
        <w:rPr>
          <w:rFonts w:ascii="Arial" w:hAnsi="Arial" w:cs="Arial"/>
        </w:rPr>
        <w:t>PERMANOVA results for significance levels between non-rehabilitated, rehabilitating and reference study sites by ordination via principal coordinate analysis.</w:t>
      </w:r>
    </w:p>
    <w:tbl>
      <w:tblPr>
        <w:tblStyle w:val="Tabelacomgrade"/>
        <w:tblW w:w="6152" w:type="dxa"/>
        <w:jc w:val="center"/>
        <w:tblCellMar>
          <w:left w:w="123" w:type="dxa"/>
        </w:tblCellMar>
        <w:tblLook w:val="04A0" w:firstRow="1" w:lastRow="0" w:firstColumn="1" w:lastColumn="0" w:noHBand="0" w:noVBand="1"/>
      </w:tblPr>
      <w:tblGrid>
        <w:gridCol w:w="2039"/>
        <w:gridCol w:w="628"/>
        <w:gridCol w:w="1057"/>
        <w:gridCol w:w="1103"/>
        <w:gridCol w:w="1325"/>
      </w:tblGrid>
      <w:tr w:rsidR="00C75E8B" w:rsidRPr="009F2FFD" w14:paraId="0330B529" w14:textId="77777777" w:rsidTr="00F119DA">
        <w:trPr>
          <w:jc w:val="center"/>
        </w:trPr>
        <w:tc>
          <w:tcPr>
            <w:tcW w:w="2039" w:type="dxa"/>
            <w:tcBorders>
              <w:left w:val="nil"/>
              <w:right w:val="nil"/>
            </w:tcBorders>
            <w:shd w:val="clear" w:color="auto" w:fill="auto"/>
          </w:tcPr>
          <w:p w14:paraId="28A9F2C4" w14:textId="77777777" w:rsidR="00C75E8B" w:rsidRPr="008F2699" w:rsidRDefault="00C75E8B" w:rsidP="00F119DA">
            <w:pPr>
              <w:spacing w:line="480" w:lineRule="auto"/>
              <w:jc w:val="both"/>
              <w:rPr>
                <w:rFonts w:ascii="Arial" w:hAnsi="Arial" w:cs="Arial"/>
                <w:b/>
              </w:rPr>
            </w:pPr>
            <w:r w:rsidRPr="008F2699">
              <w:rPr>
                <w:rFonts w:ascii="Arial" w:hAnsi="Arial" w:cs="Arial"/>
                <w:b/>
              </w:rPr>
              <w:t>Variable set</w:t>
            </w:r>
          </w:p>
        </w:tc>
        <w:tc>
          <w:tcPr>
            <w:tcW w:w="628" w:type="dxa"/>
            <w:tcBorders>
              <w:left w:val="nil"/>
              <w:right w:val="nil"/>
            </w:tcBorders>
            <w:shd w:val="clear" w:color="auto" w:fill="auto"/>
          </w:tcPr>
          <w:p w14:paraId="1AD32358" w14:textId="77777777" w:rsidR="00C75E8B" w:rsidRPr="008F2699" w:rsidRDefault="00C75E8B" w:rsidP="00F119DA">
            <w:pPr>
              <w:spacing w:line="480" w:lineRule="auto"/>
              <w:jc w:val="both"/>
              <w:rPr>
                <w:rFonts w:ascii="Arial" w:hAnsi="Arial" w:cs="Arial"/>
                <w:b/>
              </w:rPr>
            </w:pPr>
            <w:proofErr w:type="spellStart"/>
            <w:r w:rsidRPr="008F2699">
              <w:rPr>
                <w:rFonts w:ascii="Arial" w:hAnsi="Arial" w:cs="Arial"/>
                <w:b/>
              </w:rPr>
              <w:t>Df</w:t>
            </w:r>
            <w:proofErr w:type="spellEnd"/>
          </w:p>
        </w:tc>
        <w:tc>
          <w:tcPr>
            <w:tcW w:w="1057" w:type="dxa"/>
            <w:tcBorders>
              <w:left w:val="nil"/>
              <w:right w:val="nil"/>
            </w:tcBorders>
            <w:shd w:val="clear" w:color="auto" w:fill="auto"/>
          </w:tcPr>
          <w:p w14:paraId="30FFAE27" w14:textId="77777777" w:rsidR="00C75E8B" w:rsidRPr="008F2699" w:rsidRDefault="00C75E8B" w:rsidP="00F119DA">
            <w:pPr>
              <w:spacing w:line="480" w:lineRule="auto"/>
              <w:jc w:val="both"/>
              <w:rPr>
                <w:rFonts w:ascii="Arial" w:hAnsi="Arial" w:cs="Arial"/>
                <w:b/>
              </w:rPr>
            </w:pPr>
            <w:r w:rsidRPr="008F2699">
              <w:rPr>
                <w:rFonts w:ascii="Arial" w:hAnsi="Arial" w:cs="Arial"/>
                <w:b/>
              </w:rPr>
              <w:t>F-values</w:t>
            </w:r>
          </w:p>
        </w:tc>
        <w:tc>
          <w:tcPr>
            <w:tcW w:w="1103" w:type="dxa"/>
            <w:tcBorders>
              <w:left w:val="nil"/>
              <w:right w:val="nil"/>
            </w:tcBorders>
            <w:shd w:val="clear" w:color="auto" w:fill="auto"/>
          </w:tcPr>
          <w:p w14:paraId="5BC8D712" w14:textId="77777777" w:rsidR="00C75E8B" w:rsidRPr="008F2699" w:rsidRDefault="00C75E8B" w:rsidP="00F119DA">
            <w:pPr>
              <w:spacing w:line="480" w:lineRule="auto"/>
              <w:jc w:val="both"/>
              <w:rPr>
                <w:rFonts w:ascii="Arial" w:hAnsi="Arial" w:cs="Arial"/>
                <w:b/>
              </w:rPr>
            </w:pPr>
            <w:r w:rsidRPr="008F2699">
              <w:rPr>
                <w:rFonts w:ascii="Arial" w:hAnsi="Arial" w:cs="Arial"/>
                <w:b/>
              </w:rPr>
              <w:t>R-values</w:t>
            </w:r>
          </w:p>
        </w:tc>
        <w:tc>
          <w:tcPr>
            <w:tcW w:w="1325" w:type="dxa"/>
            <w:tcBorders>
              <w:left w:val="nil"/>
              <w:right w:val="nil"/>
            </w:tcBorders>
            <w:shd w:val="clear" w:color="auto" w:fill="auto"/>
          </w:tcPr>
          <w:p w14:paraId="42EFC3A0" w14:textId="77777777" w:rsidR="00C75E8B" w:rsidRPr="008F2699" w:rsidRDefault="00C75E8B" w:rsidP="00F119DA">
            <w:pPr>
              <w:spacing w:line="480" w:lineRule="auto"/>
              <w:jc w:val="both"/>
              <w:rPr>
                <w:rFonts w:ascii="Arial" w:hAnsi="Arial" w:cs="Arial"/>
                <w:b/>
              </w:rPr>
            </w:pPr>
            <w:r w:rsidRPr="008F2699">
              <w:rPr>
                <w:rFonts w:ascii="Arial" w:hAnsi="Arial" w:cs="Arial"/>
                <w:b/>
              </w:rPr>
              <w:t>p-values</w:t>
            </w:r>
          </w:p>
        </w:tc>
      </w:tr>
      <w:tr w:rsidR="00C75E8B" w:rsidRPr="009F2FFD" w14:paraId="0459ADA0" w14:textId="77777777" w:rsidTr="00F119DA">
        <w:trPr>
          <w:jc w:val="center"/>
        </w:trPr>
        <w:tc>
          <w:tcPr>
            <w:tcW w:w="2039" w:type="dxa"/>
            <w:tcBorders>
              <w:top w:val="nil"/>
              <w:left w:val="nil"/>
              <w:bottom w:val="nil"/>
              <w:right w:val="nil"/>
            </w:tcBorders>
            <w:shd w:val="clear" w:color="auto" w:fill="auto"/>
          </w:tcPr>
          <w:p w14:paraId="7EA285CF" w14:textId="77777777" w:rsidR="00C75E8B" w:rsidRPr="009F2FFD" w:rsidRDefault="00C75E8B" w:rsidP="00F119DA">
            <w:pPr>
              <w:spacing w:line="480" w:lineRule="auto"/>
              <w:jc w:val="both"/>
              <w:rPr>
                <w:rFonts w:ascii="Arial" w:hAnsi="Arial" w:cs="Arial"/>
              </w:rPr>
            </w:pPr>
            <w:r w:rsidRPr="009F2FFD">
              <w:rPr>
                <w:rFonts w:ascii="Arial" w:hAnsi="Arial" w:cs="Arial"/>
              </w:rPr>
              <w:t>Ecological processes</w:t>
            </w:r>
          </w:p>
        </w:tc>
        <w:tc>
          <w:tcPr>
            <w:tcW w:w="628" w:type="dxa"/>
            <w:tcBorders>
              <w:top w:val="nil"/>
              <w:left w:val="nil"/>
              <w:bottom w:val="nil"/>
              <w:right w:val="nil"/>
            </w:tcBorders>
            <w:shd w:val="clear" w:color="auto" w:fill="auto"/>
          </w:tcPr>
          <w:p w14:paraId="3BF464F1" w14:textId="77777777" w:rsidR="00C75E8B" w:rsidRPr="009F2FFD" w:rsidRDefault="00C75E8B" w:rsidP="00F119DA">
            <w:pPr>
              <w:spacing w:line="480" w:lineRule="auto"/>
              <w:jc w:val="both"/>
              <w:rPr>
                <w:rFonts w:ascii="Arial" w:hAnsi="Arial" w:cs="Arial"/>
              </w:rPr>
            </w:pPr>
            <w:r w:rsidRPr="009F2FFD">
              <w:rPr>
                <w:rFonts w:ascii="Arial" w:hAnsi="Arial" w:cs="Arial"/>
              </w:rPr>
              <w:t>2</w:t>
            </w:r>
          </w:p>
        </w:tc>
        <w:tc>
          <w:tcPr>
            <w:tcW w:w="1057" w:type="dxa"/>
            <w:tcBorders>
              <w:top w:val="nil"/>
              <w:left w:val="nil"/>
              <w:bottom w:val="nil"/>
              <w:right w:val="nil"/>
            </w:tcBorders>
            <w:shd w:val="clear" w:color="auto" w:fill="auto"/>
          </w:tcPr>
          <w:p w14:paraId="29D13D01" w14:textId="77777777" w:rsidR="00C75E8B" w:rsidRPr="009F2FFD" w:rsidRDefault="00C75E8B" w:rsidP="00F119DA">
            <w:pPr>
              <w:spacing w:line="480" w:lineRule="auto"/>
              <w:jc w:val="both"/>
              <w:rPr>
                <w:rFonts w:ascii="Arial" w:hAnsi="Arial" w:cs="Arial"/>
              </w:rPr>
            </w:pPr>
            <w:r w:rsidRPr="009F2FFD">
              <w:rPr>
                <w:rFonts w:ascii="Arial" w:hAnsi="Arial" w:cs="Arial"/>
              </w:rPr>
              <w:t>24.388</w:t>
            </w:r>
          </w:p>
        </w:tc>
        <w:tc>
          <w:tcPr>
            <w:tcW w:w="1103" w:type="dxa"/>
            <w:tcBorders>
              <w:top w:val="nil"/>
              <w:left w:val="nil"/>
              <w:bottom w:val="nil"/>
              <w:right w:val="nil"/>
            </w:tcBorders>
            <w:shd w:val="clear" w:color="auto" w:fill="auto"/>
          </w:tcPr>
          <w:p w14:paraId="5B1E25D4" w14:textId="77777777" w:rsidR="00C75E8B" w:rsidRPr="009F2FFD" w:rsidRDefault="00C75E8B" w:rsidP="00F119DA">
            <w:pPr>
              <w:spacing w:line="480" w:lineRule="auto"/>
              <w:jc w:val="both"/>
              <w:rPr>
                <w:rFonts w:ascii="Arial" w:hAnsi="Arial" w:cs="Arial"/>
              </w:rPr>
            </w:pPr>
            <w:r w:rsidRPr="009F2FFD">
              <w:rPr>
                <w:rFonts w:ascii="Arial" w:hAnsi="Arial" w:cs="Arial"/>
              </w:rPr>
              <w:t>0.575</w:t>
            </w:r>
          </w:p>
        </w:tc>
        <w:tc>
          <w:tcPr>
            <w:tcW w:w="1325" w:type="dxa"/>
            <w:tcBorders>
              <w:top w:val="nil"/>
              <w:left w:val="nil"/>
              <w:bottom w:val="nil"/>
              <w:right w:val="nil"/>
            </w:tcBorders>
            <w:shd w:val="clear" w:color="auto" w:fill="auto"/>
          </w:tcPr>
          <w:p w14:paraId="2E9E2762" w14:textId="77777777" w:rsidR="00C75E8B" w:rsidRPr="009F2FFD" w:rsidRDefault="00C75E8B" w:rsidP="00F119DA">
            <w:pPr>
              <w:spacing w:line="480" w:lineRule="auto"/>
              <w:jc w:val="both"/>
              <w:rPr>
                <w:rFonts w:ascii="Arial" w:hAnsi="Arial" w:cs="Arial"/>
              </w:rPr>
            </w:pPr>
            <w:r w:rsidRPr="009F2FFD">
              <w:rPr>
                <w:rFonts w:ascii="Arial" w:hAnsi="Arial" w:cs="Arial"/>
              </w:rPr>
              <w:t>&lt; 0.001</w:t>
            </w:r>
          </w:p>
        </w:tc>
      </w:tr>
      <w:tr w:rsidR="00C75E8B" w:rsidRPr="009F2FFD" w14:paraId="0C1EC9A2" w14:textId="77777777" w:rsidTr="00F119DA">
        <w:trPr>
          <w:jc w:val="center"/>
        </w:trPr>
        <w:tc>
          <w:tcPr>
            <w:tcW w:w="2039" w:type="dxa"/>
            <w:tcBorders>
              <w:top w:val="nil"/>
              <w:left w:val="nil"/>
              <w:bottom w:val="nil"/>
              <w:right w:val="nil"/>
            </w:tcBorders>
            <w:shd w:val="clear" w:color="auto" w:fill="auto"/>
          </w:tcPr>
          <w:p w14:paraId="7F66907D" w14:textId="77777777" w:rsidR="00C75E8B" w:rsidRPr="009F2FFD" w:rsidRDefault="00C75E8B" w:rsidP="00F119DA">
            <w:pPr>
              <w:spacing w:line="480" w:lineRule="auto"/>
              <w:jc w:val="both"/>
              <w:rPr>
                <w:rFonts w:ascii="Arial" w:hAnsi="Arial" w:cs="Arial"/>
              </w:rPr>
            </w:pPr>
            <w:r w:rsidRPr="009F2FFD">
              <w:rPr>
                <w:rFonts w:ascii="Arial" w:hAnsi="Arial" w:cs="Arial"/>
              </w:rPr>
              <w:t>Vegetation structure</w:t>
            </w:r>
          </w:p>
        </w:tc>
        <w:tc>
          <w:tcPr>
            <w:tcW w:w="628" w:type="dxa"/>
            <w:tcBorders>
              <w:top w:val="nil"/>
              <w:left w:val="nil"/>
              <w:bottom w:val="nil"/>
              <w:right w:val="nil"/>
            </w:tcBorders>
            <w:shd w:val="clear" w:color="auto" w:fill="auto"/>
          </w:tcPr>
          <w:p w14:paraId="1CC2028C" w14:textId="77777777" w:rsidR="00C75E8B" w:rsidRPr="009F2FFD" w:rsidRDefault="00C75E8B" w:rsidP="00F119DA">
            <w:pPr>
              <w:spacing w:line="480" w:lineRule="auto"/>
              <w:jc w:val="both"/>
              <w:rPr>
                <w:rFonts w:ascii="Arial" w:hAnsi="Arial" w:cs="Arial"/>
              </w:rPr>
            </w:pPr>
            <w:r w:rsidRPr="009F2FFD">
              <w:rPr>
                <w:rFonts w:ascii="Arial" w:hAnsi="Arial" w:cs="Arial"/>
              </w:rPr>
              <w:t>2</w:t>
            </w:r>
          </w:p>
        </w:tc>
        <w:tc>
          <w:tcPr>
            <w:tcW w:w="1057" w:type="dxa"/>
            <w:tcBorders>
              <w:top w:val="nil"/>
              <w:left w:val="nil"/>
              <w:bottom w:val="nil"/>
              <w:right w:val="nil"/>
            </w:tcBorders>
            <w:shd w:val="clear" w:color="auto" w:fill="auto"/>
          </w:tcPr>
          <w:p w14:paraId="59E88781" w14:textId="77777777" w:rsidR="00C75E8B" w:rsidRPr="009F2FFD" w:rsidRDefault="00C75E8B" w:rsidP="00F119DA">
            <w:pPr>
              <w:spacing w:line="480" w:lineRule="auto"/>
              <w:jc w:val="both"/>
              <w:rPr>
                <w:rFonts w:ascii="Arial" w:hAnsi="Arial" w:cs="Arial"/>
              </w:rPr>
            </w:pPr>
            <w:r w:rsidRPr="009F2FFD">
              <w:rPr>
                <w:rFonts w:ascii="Arial" w:hAnsi="Arial" w:cs="Arial"/>
              </w:rPr>
              <w:t>31.481</w:t>
            </w:r>
          </w:p>
        </w:tc>
        <w:tc>
          <w:tcPr>
            <w:tcW w:w="1103" w:type="dxa"/>
            <w:tcBorders>
              <w:top w:val="nil"/>
              <w:left w:val="nil"/>
              <w:bottom w:val="nil"/>
              <w:right w:val="nil"/>
            </w:tcBorders>
            <w:shd w:val="clear" w:color="auto" w:fill="auto"/>
          </w:tcPr>
          <w:p w14:paraId="48A3471D" w14:textId="77777777" w:rsidR="00C75E8B" w:rsidRPr="009F2FFD" w:rsidRDefault="00C75E8B" w:rsidP="00F119DA">
            <w:pPr>
              <w:spacing w:line="480" w:lineRule="auto"/>
              <w:jc w:val="both"/>
              <w:rPr>
                <w:rFonts w:ascii="Arial" w:hAnsi="Arial" w:cs="Arial"/>
              </w:rPr>
            </w:pPr>
            <w:r w:rsidRPr="009F2FFD">
              <w:rPr>
                <w:rFonts w:ascii="Arial" w:hAnsi="Arial" w:cs="Arial"/>
              </w:rPr>
              <w:t>0.636</w:t>
            </w:r>
          </w:p>
        </w:tc>
        <w:tc>
          <w:tcPr>
            <w:tcW w:w="1325" w:type="dxa"/>
            <w:tcBorders>
              <w:top w:val="nil"/>
              <w:left w:val="nil"/>
              <w:bottom w:val="nil"/>
              <w:right w:val="nil"/>
            </w:tcBorders>
            <w:shd w:val="clear" w:color="auto" w:fill="auto"/>
          </w:tcPr>
          <w:p w14:paraId="3AEC08EA" w14:textId="77777777" w:rsidR="00C75E8B" w:rsidRPr="009F2FFD" w:rsidRDefault="00C75E8B" w:rsidP="00F119DA">
            <w:pPr>
              <w:spacing w:line="480" w:lineRule="auto"/>
              <w:jc w:val="both"/>
              <w:rPr>
                <w:rFonts w:ascii="Arial" w:hAnsi="Arial" w:cs="Arial"/>
              </w:rPr>
            </w:pPr>
            <w:r w:rsidRPr="009F2FFD">
              <w:rPr>
                <w:rFonts w:ascii="Arial" w:hAnsi="Arial" w:cs="Arial"/>
              </w:rPr>
              <w:t>&lt; 0.001</w:t>
            </w:r>
          </w:p>
        </w:tc>
      </w:tr>
      <w:tr w:rsidR="00C75E8B" w:rsidRPr="009F2FFD" w14:paraId="39EA9C70" w14:textId="77777777" w:rsidTr="00F119DA">
        <w:trPr>
          <w:jc w:val="center"/>
        </w:trPr>
        <w:tc>
          <w:tcPr>
            <w:tcW w:w="2039" w:type="dxa"/>
            <w:tcBorders>
              <w:top w:val="nil"/>
              <w:left w:val="nil"/>
              <w:bottom w:val="nil"/>
              <w:right w:val="nil"/>
            </w:tcBorders>
            <w:shd w:val="clear" w:color="auto" w:fill="auto"/>
          </w:tcPr>
          <w:p w14:paraId="142A106A" w14:textId="77777777" w:rsidR="00C75E8B" w:rsidRPr="009F2FFD" w:rsidRDefault="00C75E8B" w:rsidP="00F119DA">
            <w:pPr>
              <w:spacing w:line="480" w:lineRule="auto"/>
              <w:jc w:val="both"/>
              <w:rPr>
                <w:rFonts w:ascii="Arial" w:hAnsi="Arial" w:cs="Arial"/>
              </w:rPr>
            </w:pPr>
            <w:r w:rsidRPr="009F2FFD">
              <w:rPr>
                <w:rFonts w:ascii="Arial" w:hAnsi="Arial" w:cs="Arial"/>
              </w:rPr>
              <w:t>Diversity</w:t>
            </w:r>
          </w:p>
        </w:tc>
        <w:tc>
          <w:tcPr>
            <w:tcW w:w="628" w:type="dxa"/>
            <w:tcBorders>
              <w:top w:val="nil"/>
              <w:left w:val="nil"/>
              <w:bottom w:val="nil"/>
              <w:right w:val="nil"/>
            </w:tcBorders>
            <w:shd w:val="clear" w:color="auto" w:fill="auto"/>
          </w:tcPr>
          <w:p w14:paraId="2CC46DB4" w14:textId="77777777" w:rsidR="00C75E8B" w:rsidRPr="009F2FFD" w:rsidRDefault="00C75E8B" w:rsidP="00F119DA">
            <w:pPr>
              <w:spacing w:line="480" w:lineRule="auto"/>
              <w:jc w:val="both"/>
              <w:rPr>
                <w:rFonts w:ascii="Arial" w:hAnsi="Arial" w:cs="Arial"/>
              </w:rPr>
            </w:pPr>
            <w:r w:rsidRPr="009F2FFD">
              <w:rPr>
                <w:rFonts w:ascii="Arial" w:hAnsi="Arial" w:cs="Arial"/>
              </w:rPr>
              <w:t>2</w:t>
            </w:r>
          </w:p>
        </w:tc>
        <w:tc>
          <w:tcPr>
            <w:tcW w:w="1057" w:type="dxa"/>
            <w:tcBorders>
              <w:top w:val="nil"/>
              <w:left w:val="nil"/>
              <w:bottom w:val="nil"/>
              <w:right w:val="nil"/>
            </w:tcBorders>
            <w:shd w:val="clear" w:color="auto" w:fill="auto"/>
          </w:tcPr>
          <w:p w14:paraId="06B158E7" w14:textId="77777777" w:rsidR="00C75E8B" w:rsidRPr="009F2FFD" w:rsidRDefault="00C75E8B" w:rsidP="00F119DA">
            <w:pPr>
              <w:spacing w:line="480" w:lineRule="auto"/>
              <w:jc w:val="both"/>
              <w:rPr>
                <w:rFonts w:ascii="Arial" w:hAnsi="Arial" w:cs="Arial"/>
              </w:rPr>
            </w:pPr>
            <w:r w:rsidRPr="009F2FFD">
              <w:rPr>
                <w:rFonts w:ascii="Arial" w:hAnsi="Arial" w:cs="Arial"/>
              </w:rPr>
              <w:t>52.755</w:t>
            </w:r>
          </w:p>
        </w:tc>
        <w:tc>
          <w:tcPr>
            <w:tcW w:w="1103" w:type="dxa"/>
            <w:tcBorders>
              <w:top w:val="nil"/>
              <w:left w:val="nil"/>
              <w:bottom w:val="nil"/>
              <w:right w:val="nil"/>
            </w:tcBorders>
            <w:shd w:val="clear" w:color="auto" w:fill="auto"/>
          </w:tcPr>
          <w:p w14:paraId="5CAC4678" w14:textId="77777777" w:rsidR="00C75E8B" w:rsidRPr="009F2FFD" w:rsidRDefault="00C75E8B" w:rsidP="00F119DA">
            <w:pPr>
              <w:spacing w:line="480" w:lineRule="auto"/>
              <w:jc w:val="both"/>
              <w:rPr>
                <w:rFonts w:ascii="Arial" w:hAnsi="Arial" w:cs="Arial"/>
              </w:rPr>
            </w:pPr>
            <w:r w:rsidRPr="009F2FFD">
              <w:rPr>
                <w:rFonts w:ascii="Arial" w:hAnsi="Arial" w:cs="Arial"/>
              </w:rPr>
              <w:t>0.746</w:t>
            </w:r>
          </w:p>
        </w:tc>
        <w:tc>
          <w:tcPr>
            <w:tcW w:w="1325" w:type="dxa"/>
            <w:tcBorders>
              <w:top w:val="nil"/>
              <w:left w:val="nil"/>
              <w:bottom w:val="nil"/>
              <w:right w:val="nil"/>
            </w:tcBorders>
            <w:shd w:val="clear" w:color="auto" w:fill="auto"/>
          </w:tcPr>
          <w:p w14:paraId="58185E68" w14:textId="77777777" w:rsidR="00C75E8B" w:rsidRPr="009F2FFD" w:rsidRDefault="00C75E8B" w:rsidP="00F119DA">
            <w:pPr>
              <w:spacing w:line="480" w:lineRule="auto"/>
              <w:jc w:val="both"/>
              <w:rPr>
                <w:rFonts w:ascii="Arial" w:hAnsi="Arial" w:cs="Arial"/>
              </w:rPr>
            </w:pPr>
            <w:r w:rsidRPr="009F2FFD">
              <w:rPr>
                <w:rFonts w:ascii="Arial" w:hAnsi="Arial" w:cs="Arial"/>
              </w:rPr>
              <w:t>&lt; 0.001</w:t>
            </w:r>
          </w:p>
        </w:tc>
      </w:tr>
      <w:tr w:rsidR="00C75E8B" w:rsidRPr="009F2FFD" w14:paraId="0B8E8CB9" w14:textId="77777777" w:rsidTr="00F119DA">
        <w:trPr>
          <w:jc w:val="center"/>
        </w:trPr>
        <w:tc>
          <w:tcPr>
            <w:tcW w:w="2039" w:type="dxa"/>
            <w:tcBorders>
              <w:top w:val="nil"/>
              <w:left w:val="nil"/>
              <w:right w:val="nil"/>
            </w:tcBorders>
            <w:shd w:val="clear" w:color="auto" w:fill="auto"/>
          </w:tcPr>
          <w:p w14:paraId="78805AA9" w14:textId="77777777" w:rsidR="00C75E8B" w:rsidRPr="009F2FFD" w:rsidRDefault="00C75E8B" w:rsidP="00F119DA">
            <w:pPr>
              <w:spacing w:line="480" w:lineRule="auto"/>
              <w:jc w:val="both"/>
              <w:rPr>
                <w:rFonts w:ascii="Arial" w:hAnsi="Arial" w:cs="Arial"/>
              </w:rPr>
            </w:pPr>
            <w:r w:rsidRPr="009F2FFD">
              <w:rPr>
                <w:rFonts w:ascii="Arial" w:hAnsi="Arial" w:cs="Arial"/>
              </w:rPr>
              <w:t>Entire variable set</w:t>
            </w:r>
          </w:p>
        </w:tc>
        <w:tc>
          <w:tcPr>
            <w:tcW w:w="628" w:type="dxa"/>
            <w:tcBorders>
              <w:top w:val="nil"/>
              <w:left w:val="nil"/>
              <w:right w:val="nil"/>
            </w:tcBorders>
            <w:shd w:val="clear" w:color="auto" w:fill="auto"/>
          </w:tcPr>
          <w:p w14:paraId="6F230DC3" w14:textId="77777777" w:rsidR="00C75E8B" w:rsidRPr="009F2FFD" w:rsidRDefault="00C75E8B" w:rsidP="00F119DA">
            <w:pPr>
              <w:spacing w:line="480" w:lineRule="auto"/>
              <w:jc w:val="both"/>
              <w:rPr>
                <w:rFonts w:ascii="Arial" w:hAnsi="Arial" w:cs="Arial"/>
              </w:rPr>
            </w:pPr>
            <w:r w:rsidRPr="009F2FFD">
              <w:rPr>
                <w:rFonts w:ascii="Arial" w:hAnsi="Arial" w:cs="Arial"/>
              </w:rPr>
              <w:t>2</w:t>
            </w:r>
          </w:p>
        </w:tc>
        <w:tc>
          <w:tcPr>
            <w:tcW w:w="1057" w:type="dxa"/>
            <w:tcBorders>
              <w:top w:val="nil"/>
              <w:left w:val="nil"/>
              <w:right w:val="nil"/>
            </w:tcBorders>
            <w:shd w:val="clear" w:color="auto" w:fill="auto"/>
          </w:tcPr>
          <w:p w14:paraId="2ED3E229" w14:textId="77777777" w:rsidR="00C75E8B" w:rsidRPr="009F2FFD" w:rsidRDefault="00C75E8B" w:rsidP="00F119DA">
            <w:pPr>
              <w:spacing w:line="480" w:lineRule="auto"/>
              <w:jc w:val="both"/>
              <w:rPr>
                <w:rFonts w:ascii="Arial" w:hAnsi="Arial" w:cs="Arial"/>
              </w:rPr>
            </w:pPr>
            <w:r w:rsidRPr="009F2FFD">
              <w:rPr>
                <w:rFonts w:ascii="Arial" w:hAnsi="Arial" w:cs="Arial"/>
              </w:rPr>
              <w:t>34.652</w:t>
            </w:r>
          </w:p>
        </w:tc>
        <w:tc>
          <w:tcPr>
            <w:tcW w:w="1103" w:type="dxa"/>
            <w:tcBorders>
              <w:top w:val="nil"/>
              <w:left w:val="nil"/>
              <w:right w:val="nil"/>
            </w:tcBorders>
            <w:shd w:val="clear" w:color="auto" w:fill="auto"/>
          </w:tcPr>
          <w:p w14:paraId="1197FD2A" w14:textId="77777777" w:rsidR="00C75E8B" w:rsidRPr="009F2FFD" w:rsidRDefault="00C75E8B" w:rsidP="00F119DA">
            <w:pPr>
              <w:spacing w:line="480" w:lineRule="auto"/>
              <w:jc w:val="both"/>
              <w:rPr>
                <w:rFonts w:ascii="Arial" w:hAnsi="Arial" w:cs="Arial"/>
              </w:rPr>
            </w:pPr>
            <w:r w:rsidRPr="009F2FFD">
              <w:rPr>
                <w:rFonts w:ascii="Arial" w:hAnsi="Arial" w:cs="Arial"/>
              </w:rPr>
              <w:t>0.658</w:t>
            </w:r>
          </w:p>
        </w:tc>
        <w:tc>
          <w:tcPr>
            <w:tcW w:w="1325" w:type="dxa"/>
            <w:tcBorders>
              <w:top w:val="nil"/>
              <w:left w:val="nil"/>
              <w:right w:val="nil"/>
            </w:tcBorders>
            <w:shd w:val="clear" w:color="auto" w:fill="auto"/>
          </w:tcPr>
          <w:p w14:paraId="0ED7E590" w14:textId="77777777" w:rsidR="00C75E8B" w:rsidRPr="009F2FFD" w:rsidRDefault="00C75E8B" w:rsidP="00F119DA">
            <w:pPr>
              <w:spacing w:line="480" w:lineRule="auto"/>
              <w:jc w:val="both"/>
              <w:rPr>
                <w:rFonts w:ascii="Arial" w:hAnsi="Arial" w:cs="Arial"/>
              </w:rPr>
            </w:pPr>
            <w:r w:rsidRPr="009F2FFD">
              <w:rPr>
                <w:rFonts w:ascii="Arial" w:hAnsi="Arial" w:cs="Arial"/>
              </w:rPr>
              <w:t>&lt; 0.001</w:t>
            </w:r>
          </w:p>
        </w:tc>
      </w:tr>
    </w:tbl>
    <w:p w14:paraId="76B94CA7" w14:textId="77777777" w:rsidR="00C75E8B" w:rsidRPr="009F2FFD" w:rsidRDefault="00C75E8B" w:rsidP="00C75E8B">
      <w:pPr>
        <w:spacing w:after="0" w:line="480" w:lineRule="auto"/>
        <w:jc w:val="both"/>
        <w:rPr>
          <w:rFonts w:ascii="Arial" w:hAnsi="Arial" w:cs="Arial"/>
        </w:rPr>
      </w:pPr>
    </w:p>
    <w:p w14:paraId="3DBE8C64" w14:textId="77777777" w:rsidR="00C75E8B" w:rsidRDefault="00C75E8B" w:rsidP="00C75E8B"/>
    <w:p w14:paraId="521CBD8E" w14:textId="77777777" w:rsidR="00C75E8B" w:rsidRDefault="00C75E8B" w:rsidP="00CC27E9">
      <w:pPr>
        <w:spacing w:after="0" w:line="480" w:lineRule="auto"/>
        <w:jc w:val="both"/>
        <w:rPr>
          <w:rFonts w:ascii="Arial" w:hAnsi="Arial" w:cs="Arial"/>
          <w:b/>
        </w:rPr>
      </w:pPr>
    </w:p>
    <w:p w14:paraId="33A0D9A3" w14:textId="77777777" w:rsidR="00225144" w:rsidRDefault="00225144">
      <w:pPr>
        <w:rPr>
          <w:rFonts w:ascii="Arial" w:hAnsi="Arial" w:cs="Arial"/>
          <w:b/>
        </w:rPr>
      </w:pPr>
      <w:r>
        <w:rPr>
          <w:rFonts w:ascii="Arial" w:hAnsi="Arial" w:cs="Arial"/>
          <w:b/>
        </w:rPr>
        <w:br w:type="page"/>
      </w:r>
    </w:p>
    <w:p w14:paraId="3CCA0F04" w14:textId="2D4CF538" w:rsidR="00CC27E9" w:rsidRDefault="00C75E8B" w:rsidP="00471609">
      <w:pPr>
        <w:spacing w:after="0" w:line="480" w:lineRule="auto"/>
        <w:jc w:val="center"/>
        <w:rPr>
          <w:rFonts w:ascii="Arial" w:hAnsi="Arial" w:cs="Arial"/>
          <w:b/>
        </w:rPr>
      </w:pPr>
      <w:r w:rsidRPr="00C75E8B">
        <w:rPr>
          <w:rFonts w:ascii="Arial" w:hAnsi="Arial" w:cs="Arial"/>
          <w:b/>
        </w:rPr>
        <w:lastRenderedPageBreak/>
        <w:t xml:space="preserve">Supplementary Material </w:t>
      </w:r>
      <w:r w:rsidR="00225144">
        <w:rPr>
          <w:rFonts w:ascii="Arial" w:hAnsi="Arial" w:cs="Arial"/>
          <w:b/>
        </w:rPr>
        <w:t>6</w:t>
      </w:r>
    </w:p>
    <w:p w14:paraId="7C68415A" w14:textId="77777777" w:rsidR="00471609" w:rsidRPr="00C75E8B" w:rsidRDefault="00471609" w:rsidP="00471609">
      <w:pPr>
        <w:spacing w:after="0" w:line="480" w:lineRule="auto"/>
        <w:jc w:val="center"/>
        <w:rPr>
          <w:rFonts w:ascii="Arial" w:hAnsi="Arial" w:cs="Arial"/>
          <w:b/>
        </w:rPr>
      </w:pPr>
    </w:p>
    <w:p w14:paraId="2EAEED43" w14:textId="77777777" w:rsidR="00CC27E9" w:rsidRPr="009F2FFD" w:rsidRDefault="00CC27E9" w:rsidP="00CC27E9">
      <w:pPr>
        <w:spacing w:after="0" w:line="480" w:lineRule="auto"/>
        <w:jc w:val="center"/>
        <w:rPr>
          <w:rFonts w:ascii="Arial" w:hAnsi="Arial" w:cs="Arial"/>
        </w:rPr>
      </w:pPr>
      <w:r w:rsidRPr="009F2FFD">
        <w:rPr>
          <w:rFonts w:ascii="Arial" w:hAnsi="Arial" w:cs="Arial"/>
          <w:noProof/>
          <w:lang w:val="pt-BR" w:eastAsia="pt-BR"/>
        </w:rPr>
        <w:drawing>
          <wp:inline distT="0" distB="0" distL="0" distR="635" wp14:anchorId="1997AEA1" wp14:editId="6B130C0F">
            <wp:extent cx="3314065" cy="381254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0"/>
                    <a:srcRect b="7478"/>
                    <a:stretch>
                      <a:fillRect/>
                    </a:stretch>
                  </pic:blipFill>
                  <pic:spPr bwMode="auto">
                    <a:xfrm>
                      <a:off x="0" y="0"/>
                      <a:ext cx="3314065" cy="3812540"/>
                    </a:xfrm>
                    <a:prstGeom prst="rect">
                      <a:avLst/>
                    </a:prstGeom>
                  </pic:spPr>
                </pic:pic>
              </a:graphicData>
            </a:graphic>
          </wp:inline>
        </w:drawing>
      </w:r>
    </w:p>
    <w:p w14:paraId="07D0F0E5" w14:textId="6BAF4464" w:rsidR="00CC27E9" w:rsidRPr="009F2FFD" w:rsidRDefault="00CC27E9" w:rsidP="00CC27E9">
      <w:pPr>
        <w:spacing w:after="0" w:line="480" w:lineRule="auto"/>
        <w:jc w:val="both"/>
        <w:rPr>
          <w:rFonts w:ascii="Arial" w:hAnsi="Arial" w:cs="Arial"/>
        </w:rPr>
      </w:pPr>
      <w:r w:rsidRPr="009F2FFD">
        <w:rPr>
          <w:rFonts w:ascii="Arial" w:hAnsi="Arial" w:cs="Arial"/>
        </w:rPr>
        <w:t>Influence of single variables on the outcomes of the estimation of rehabilitation status. Shown are the percent</w:t>
      </w:r>
      <w:r w:rsidRPr="009F2FFD">
        <w:rPr>
          <w:rFonts w:ascii="Arial" w:hAnsi="Arial" w:cs="Arial"/>
        </w:rPr>
        <w:t xml:space="preserve"> residual variances (lines) and the correlation coefficients (circles) fitting the complete estimation by the estimations computed from </w:t>
      </w:r>
      <w:r w:rsidR="00440EB6">
        <w:rPr>
          <w:rFonts w:ascii="Arial" w:hAnsi="Arial" w:cs="Arial"/>
        </w:rPr>
        <w:t xml:space="preserve">a </w:t>
      </w:r>
      <w:r w:rsidRPr="009F2FFD">
        <w:rPr>
          <w:rFonts w:ascii="Arial" w:hAnsi="Arial" w:cs="Arial"/>
        </w:rPr>
        <w:t xml:space="preserve">smaller variable set. </w:t>
      </w:r>
    </w:p>
    <w:p w14:paraId="75B63497" w14:textId="77777777" w:rsidR="00CC27E9" w:rsidRDefault="00CC27E9" w:rsidP="00CC27E9">
      <w:pPr>
        <w:spacing w:after="0" w:line="480" w:lineRule="auto"/>
        <w:jc w:val="both"/>
        <w:rPr>
          <w:rFonts w:ascii="Arial" w:hAnsi="Arial" w:cs="Arial"/>
        </w:rPr>
      </w:pPr>
    </w:p>
    <w:p w14:paraId="6A0C75EC" w14:textId="77777777" w:rsidR="00D17C65" w:rsidRPr="00D17C65" w:rsidRDefault="00D17C65" w:rsidP="00CC27E9">
      <w:pPr>
        <w:spacing w:after="0" w:line="480" w:lineRule="auto"/>
        <w:jc w:val="both"/>
        <w:rPr>
          <w:rFonts w:ascii="Arial" w:hAnsi="Arial" w:cs="Arial"/>
          <w:b/>
        </w:rPr>
      </w:pPr>
    </w:p>
    <w:p w14:paraId="26042E9C" w14:textId="77777777" w:rsidR="00471609" w:rsidRDefault="00471609">
      <w:pPr>
        <w:rPr>
          <w:rFonts w:ascii="Arial" w:hAnsi="Arial" w:cs="Arial"/>
          <w:b/>
        </w:rPr>
      </w:pPr>
      <w:r>
        <w:rPr>
          <w:rFonts w:ascii="Arial" w:hAnsi="Arial" w:cs="Arial"/>
          <w:b/>
        </w:rPr>
        <w:br w:type="page"/>
      </w:r>
    </w:p>
    <w:p w14:paraId="7B14BC51" w14:textId="57AD3DFF" w:rsidR="00D17C65" w:rsidRDefault="00225144" w:rsidP="00471609">
      <w:pPr>
        <w:spacing w:after="0" w:line="480" w:lineRule="auto"/>
        <w:jc w:val="center"/>
        <w:rPr>
          <w:rFonts w:ascii="Arial" w:hAnsi="Arial" w:cs="Arial"/>
          <w:b/>
        </w:rPr>
      </w:pPr>
      <w:r>
        <w:rPr>
          <w:rFonts w:ascii="Arial" w:hAnsi="Arial" w:cs="Arial"/>
          <w:b/>
        </w:rPr>
        <w:lastRenderedPageBreak/>
        <w:t>Supplementary Material 7</w:t>
      </w:r>
    </w:p>
    <w:p w14:paraId="2C304637" w14:textId="77777777" w:rsidR="00471609" w:rsidRPr="00D17C65" w:rsidRDefault="00471609" w:rsidP="00CC27E9">
      <w:pPr>
        <w:spacing w:after="0" w:line="480" w:lineRule="auto"/>
        <w:jc w:val="both"/>
        <w:rPr>
          <w:rFonts w:ascii="Arial" w:hAnsi="Arial" w:cs="Arial"/>
          <w:b/>
        </w:rPr>
      </w:pPr>
    </w:p>
    <w:p w14:paraId="65896A9B" w14:textId="77777777" w:rsidR="00684FE7" w:rsidRDefault="00684FE7" w:rsidP="00CC27E9">
      <w:pPr>
        <w:spacing w:after="0" w:line="480" w:lineRule="auto"/>
        <w:jc w:val="both"/>
        <w:rPr>
          <w:rFonts w:ascii="Arial" w:hAnsi="Arial" w:cs="Arial"/>
        </w:rPr>
      </w:pPr>
      <w:r>
        <w:rPr>
          <w:rFonts w:ascii="Arial" w:hAnsi="Arial" w:cs="Arial"/>
          <w:noProof/>
          <w:lang w:val="pt-BR" w:eastAsia="pt-BR"/>
        </w:rPr>
        <w:drawing>
          <wp:inline distT="0" distB="0" distL="0" distR="0" wp14:anchorId="54C296C8" wp14:editId="481F4FE5">
            <wp:extent cx="5311674" cy="6355443"/>
            <wp:effectExtent l="0" t="0" r="381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604" cy="6363734"/>
                    </a:xfrm>
                    <a:prstGeom prst="rect">
                      <a:avLst/>
                    </a:prstGeom>
                    <a:noFill/>
                  </pic:spPr>
                </pic:pic>
              </a:graphicData>
            </a:graphic>
          </wp:inline>
        </w:drawing>
      </w:r>
    </w:p>
    <w:p w14:paraId="63CBADD3" w14:textId="6B19E7DF" w:rsidR="00684FE7" w:rsidRDefault="00684FE7" w:rsidP="00CC27E9">
      <w:pPr>
        <w:spacing w:after="0" w:line="480" w:lineRule="auto"/>
        <w:jc w:val="both"/>
        <w:rPr>
          <w:rFonts w:ascii="Arial" w:hAnsi="Arial" w:cs="Arial"/>
        </w:rPr>
      </w:pPr>
      <w:r>
        <w:rPr>
          <w:rFonts w:ascii="Arial" w:hAnsi="Arial" w:cs="Arial"/>
        </w:rPr>
        <w:t xml:space="preserve">Histogram of </w:t>
      </w:r>
      <w:r w:rsidR="004E4440">
        <w:rPr>
          <w:rFonts w:ascii="Arial" w:hAnsi="Arial" w:cs="Arial"/>
        </w:rPr>
        <w:t>the e</w:t>
      </w:r>
      <w:r>
        <w:rPr>
          <w:rFonts w:ascii="Arial" w:hAnsi="Arial" w:cs="Arial"/>
        </w:rPr>
        <w:t xml:space="preserve">stimated rehabilitation status and correlations between predictor variables and estimated rehabilitation status. Despite missing values between 1 and ~40 (vegetation cover) and 0.01 and </w:t>
      </w:r>
      <w:r w:rsidR="00E836B3">
        <w:rPr>
          <w:rFonts w:ascii="Arial" w:hAnsi="Arial" w:cs="Arial"/>
        </w:rPr>
        <w:t xml:space="preserve">~0.08, the graphs show that </w:t>
      </w:r>
      <w:r w:rsidR="004E4440">
        <w:rPr>
          <w:rFonts w:ascii="Arial" w:hAnsi="Arial" w:cs="Arial"/>
        </w:rPr>
        <w:t xml:space="preserve">the </w:t>
      </w:r>
      <w:r w:rsidR="00E836B3">
        <w:rPr>
          <w:rFonts w:ascii="Arial" w:hAnsi="Arial" w:cs="Arial"/>
        </w:rPr>
        <w:t xml:space="preserve">dependent variable is not truncated. </w:t>
      </w:r>
      <w:r>
        <w:rPr>
          <w:rFonts w:ascii="Arial" w:hAnsi="Arial" w:cs="Arial"/>
        </w:rPr>
        <w:t xml:space="preserve">For model numeration, please refer to Table 2 in the main text. </w:t>
      </w:r>
    </w:p>
    <w:p w14:paraId="17D8589D" w14:textId="77777777" w:rsidR="00E836B3" w:rsidRDefault="00E836B3" w:rsidP="00CC27E9">
      <w:pPr>
        <w:spacing w:after="0" w:line="480" w:lineRule="auto"/>
        <w:jc w:val="both"/>
        <w:rPr>
          <w:rFonts w:ascii="Arial" w:hAnsi="Arial" w:cs="Arial"/>
        </w:rPr>
      </w:pPr>
    </w:p>
    <w:p w14:paraId="61CC3428" w14:textId="77777777" w:rsidR="00225144" w:rsidRDefault="00225144">
      <w:pPr>
        <w:rPr>
          <w:rFonts w:ascii="Arial" w:hAnsi="Arial" w:cs="Arial"/>
          <w:b/>
        </w:rPr>
      </w:pPr>
      <w:r>
        <w:rPr>
          <w:rFonts w:ascii="Arial" w:hAnsi="Arial" w:cs="Arial"/>
          <w:b/>
        </w:rPr>
        <w:br w:type="page"/>
      </w:r>
    </w:p>
    <w:p w14:paraId="71F9DA6A" w14:textId="7B3EF326" w:rsidR="00E836B3" w:rsidRDefault="00D17C65" w:rsidP="00471609">
      <w:pPr>
        <w:spacing w:after="0" w:line="480" w:lineRule="auto"/>
        <w:jc w:val="center"/>
        <w:rPr>
          <w:rFonts w:ascii="Arial" w:hAnsi="Arial" w:cs="Arial"/>
          <w:b/>
        </w:rPr>
      </w:pPr>
      <w:r w:rsidRPr="00D17C65">
        <w:rPr>
          <w:rFonts w:ascii="Arial" w:hAnsi="Arial" w:cs="Arial"/>
          <w:b/>
        </w:rPr>
        <w:lastRenderedPageBreak/>
        <w:t xml:space="preserve">Supplementary Material </w:t>
      </w:r>
      <w:r w:rsidR="00225144">
        <w:rPr>
          <w:rFonts w:ascii="Arial" w:hAnsi="Arial" w:cs="Arial"/>
          <w:b/>
        </w:rPr>
        <w:t>8</w:t>
      </w:r>
    </w:p>
    <w:p w14:paraId="3902FFAD" w14:textId="77777777" w:rsidR="00471609" w:rsidRPr="00D17C65" w:rsidRDefault="00471609" w:rsidP="00CC27E9">
      <w:pPr>
        <w:spacing w:after="0" w:line="480" w:lineRule="auto"/>
        <w:jc w:val="both"/>
        <w:rPr>
          <w:rFonts w:ascii="Arial" w:hAnsi="Arial" w:cs="Arial"/>
          <w:b/>
        </w:rPr>
      </w:pPr>
    </w:p>
    <w:p w14:paraId="193D0654" w14:textId="77777777" w:rsidR="00E836B3" w:rsidRDefault="00E836B3" w:rsidP="00CC27E9">
      <w:pPr>
        <w:spacing w:after="0" w:line="480" w:lineRule="auto"/>
        <w:jc w:val="both"/>
        <w:rPr>
          <w:rFonts w:ascii="Arial" w:hAnsi="Arial" w:cs="Arial"/>
        </w:rPr>
      </w:pPr>
      <w:r>
        <w:rPr>
          <w:rFonts w:ascii="Arial" w:hAnsi="Arial" w:cs="Arial"/>
          <w:noProof/>
          <w:lang w:val="pt-BR" w:eastAsia="pt-BR"/>
        </w:rPr>
        <w:drawing>
          <wp:inline distT="0" distB="0" distL="0" distR="0" wp14:anchorId="7448EAD7" wp14:editId="2C663477">
            <wp:extent cx="4688484" cy="4701293"/>
            <wp:effectExtent l="0" t="0" r="0" b="4445"/>
            <wp:docPr id="1306" name="Imagem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2284" cy="4705103"/>
                    </a:xfrm>
                    <a:prstGeom prst="rect">
                      <a:avLst/>
                    </a:prstGeom>
                    <a:noFill/>
                  </pic:spPr>
                </pic:pic>
              </a:graphicData>
            </a:graphic>
          </wp:inline>
        </w:drawing>
      </w:r>
    </w:p>
    <w:p w14:paraId="552874B2" w14:textId="77777777" w:rsidR="00E836B3" w:rsidRPr="009F2FFD" w:rsidRDefault="00E836B3" w:rsidP="00CC27E9">
      <w:pPr>
        <w:spacing w:after="0" w:line="480" w:lineRule="auto"/>
        <w:jc w:val="both"/>
        <w:rPr>
          <w:rFonts w:ascii="Arial" w:hAnsi="Arial" w:cs="Arial"/>
        </w:rPr>
      </w:pPr>
      <w:r>
        <w:rPr>
          <w:rFonts w:ascii="Arial" w:hAnsi="Arial" w:cs="Arial"/>
        </w:rPr>
        <w:t xml:space="preserve">Correlations between predictor variables and </w:t>
      </w:r>
      <w:r w:rsidR="00D17C65">
        <w:rPr>
          <w:rFonts w:ascii="Arial" w:hAnsi="Arial" w:cs="Arial"/>
        </w:rPr>
        <w:t xml:space="preserve">residuals of both models (for </w:t>
      </w:r>
      <w:r w:rsidR="00440EB6">
        <w:rPr>
          <w:rFonts w:ascii="Arial" w:hAnsi="Arial" w:cs="Arial"/>
        </w:rPr>
        <w:t xml:space="preserve">the </w:t>
      </w:r>
      <w:r w:rsidR="00D17C65">
        <w:rPr>
          <w:rFonts w:ascii="Arial" w:hAnsi="Arial" w:cs="Arial"/>
        </w:rPr>
        <w:t xml:space="preserve">model denomination, please refer to Table 2 from the main text), indicating that no </w:t>
      </w:r>
      <w:proofErr w:type="spellStart"/>
      <w:r w:rsidR="00D17C65" w:rsidRPr="004E4440">
        <w:rPr>
          <w:rFonts w:ascii="Arial" w:hAnsi="Arial" w:cs="Arial"/>
        </w:rPr>
        <w:t>endogeneity</w:t>
      </w:r>
      <w:proofErr w:type="spellEnd"/>
      <w:r w:rsidR="00D17C65" w:rsidRPr="004E4440">
        <w:rPr>
          <w:rFonts w:ascii="Arial" w:hAnsi="Arial" w:cs="Arial"/>
        </w:rPr>
        <w:t xml:space="preserve"> is in the data structure.</w:t>
      </w:r>
    </w:p>
    <w:sectPr w:rsidR="00E836B3" w:rsidRPr="009F2FFD" w:rsidSect="00471609">
      <w:footerReference w:type="default" r:id="rId13"/>
      <w:pgSz w:w="11906" w:h="16838"/>
      <w:pgMar w:top="1417" w:right="1701" w:bottom="1417" w:left="1701" w:header="0" w:footer="0" w:gutter="0"/>
      <w:cols w:space="720"/>
      <w:formProt w:val="0"/>
      <w:docGrid w:linePitch="360" w:charSpace="819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A4444D" w16cid:durableId="20672462"/>
  <w16cid:commentId w16cid:paraId="41DD1138" w16cid:durableId="206724A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A5B7B" w14:textId="77777777" w:rsidR="007678E5" w:rsidRDefault="007678E5">
      <w:pPr>
        <w:spacing w:after="0" w:line="240" w:lineRule="auto"/>
      </w:pPr>
      <w:r>
        <w:separator/>
      </w:r>
    </w:p>
  </w:endnote>
  <w:endnote w:type="continuationSeparator" w:id="0">
    <w:p w14:paraId="7A19BA5D" w14:textId="77777777" w:rsidR="007678E5" w:rsidRDefault="0076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837959"/>
      <w:docPartObj>
        <w:docPartGallery w:val="Page Numbers (Bottom of Page)"/>
        <w:docPartUnique/>
      </w:docPartObj>
    </w:sdtPr>
    <w:sdtEndPr/>
    <w:sdtContent>
      <w:p w14:paraId="25079559" w14:textId="57C7C681" w:rsidR="00F119DA" w:rsidRDefault="00112098">
        <w:pPr>
          <w:pStyle w:val="Rodap"/>
          <w:jc w:val="right"/>
        </w:pPr>
        <w:r>
          <w:fldChar w:fldCharType="begin"/>
        </w:r>
        <w:r>
          <w:instrText>PAGE   \* MERGEFORMAT</w:instrText>
        </w:r>
        <w:r>
          <w:fldChar w:fldCharType="separate"/>
        </w:r>
        <w:r w:rsidR="00471609" w:rsidRPr="00471609">
          <w:rPr>
            <w:noProof/>
            <w:lang w:val="pt-BR"/>
          </w:rPr>
          <w:t>4</w:t>
        </w:r>
        <w:r>
          <w:fldChar w:fldCharType="end"/>
        </w:r>
      </w:p>
    </w:sdtContent>
  </w:sdt>
  <w:p w14:paraId="2EF9464F" w14:textId="77777777" w:rsidR="00F119DA" w:rsidRDefault="00F119D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DABC2" w14:textId="77777777" w:rsidR="007678E5" w:rsidRDefault="007678E5">
      <w:pPr>
        <w:spacing w:after="0" w:line="240" w:lineRule="auto"/>
      </w:pPr>
      <w:r>
        <w:separator/>
      </w:r>
    </w:p>
  </w:footnote>
  <w:footnote w:type="continuationSeparator" w:id="0">
    <w:p w14:paraId="2CEA08CB" w14:textId="77777777" w:rsidR="007678E5" w:rsidRDefault="007678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7E9"/>
    <w:rsid w:val="000D22A0"/>
    <w:rsid w:val="00112098"/>
    <w:rsid w:val="00225144"/>
    <w:rsid w:val="00282234"/>
    <w:rsid w:val="004373E3"/>
    <w:rsid w:val="00440EB6"/>
    <w:rsid w:val="00444290"/>
    <w:rsid w:val="00471609"/>
    <w:rsid w:val="004E4440"/>
    <w:rsid w:val="00684FE7"/>
    <w:rsid w:val="006A4263"/>
    <w:rsid w:val="0071777A"/>
    <w:rsid w:val="0075083E"/>
    <w:rsid w:val="007678E5"/>
    <w:rsid w:val="00A8006D"/>
    <w:rsid w:val="00AD5F52"/>
    <w:rsid w:val="00B90A9F"/>
    <w:rsid w:val="00BE5D82"/>
    <w:rsid w:val="00C75E8B"/>
    <w:rsid w:val="00CC27E9"/>
    <w:rsid w:val="00CD031F"/>
    <w:rsid w:val="00D17C65"/>
    <w:rsid w:val="00D93B92"/>
    <w:rsid w:val="00E52BE4"/>
    <w:rsid w:val="00E836B3"/>
    <w:rsid w:val="00F119DA"/>
    <w:rsid w:val="00F521DD"/>
    <w:rsid w:val="00FB13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795D"/>
  <w15:chartTrackingRefBased/>
  <w15:docId w15:val="{9997C607-C6C6-417E-BDD9-B152532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7E9"/>
    <w:rPr>
      <w:rFonts w:ascii="Calibri" w:hAnsi="Calibri"/>
      <w:sz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CC27E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CC27E9"/>
    <w:pPr>
      <w:tabs>
        <w:tab w:val="center" w:pos="4252"/>
        <w:tab w:val="right" w:pos="8504"/>
      </w:tabs>
      <w:spacing w:after="0" w:line="240" w:lineRule="auto"/>
    </w:pPr>
  </w:style>
  <w:style w:type="character" w:customStyle="1" w:styleId="RodapChar">
    <w:name w:val="Rodapé Char"/>
    <w:basedOn w:val="Fontepargpadro"/>
    <w:link w:val="Rodap"/>
    <w:uiPriority w:val="99"/>
    <w:rsid w:val="00CC27E9"/>
    <w:rPr>
      <w:rFonts w:ascii="Calibri" w:hAnsi="Calibri"/>
      <w:sz w:val="20"/>
      <w:lang w:val="en-US"/>
    </w:rPr>
  </w:style>
  <w:style w:type="character" w:styleId="Nmerodelinha">
    <w:name w:val="line number"/>
    <w:basedOn w:val="Fontepargpadro"/>
    <w:uiPriority w:val="99"/>
    <w:semiHidden/>
    <w:unhideWhenUsed/>
    <w:rsid w:val="00CC27E9"/>
  </w:style>
  <w:style w:type="paragraph" w:styleId="Cabealho">
    <w:name w:val="header"/>
    <w:basedOn w:val="Normal"/>
    <w:link w:val="CabealhoChar"/>
    <w:uiPriority w:val="99"/>
    <w:unhideWhenUsed/>
    <w:rsid w:val="006A42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4263"/>
    <w:rPr>
      <w:rFonts w:ascii="Calibri" w:hAnsi="Calibri"/>
      <w:sz w:val="20"/>
      <w:lang w:val="en-US"/>
    </w:rPr>
  </w:style>
  <w:style w:type="paragraph" w:styleId="Textodebalo">
    <w:name w:val="Balloon Text"/>
    <w:basedOn w:val="Normal"/>
    <w:link w:val="TextodebaloChar"/>
    <w:uiPriority w:val="99"/>
    <w:semiHidden/>
    <w:unhideWhenUsed/>
    <w:rsid w:val="00440EB6"/>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440EB6"/>
    <w:rPr>
      <w:rFonts w:ascii="Times New Roman" w:hAnsi="Times New Roman" w:cs="Times New Roman"/>
      <w:sz w:val="18"/>
      <w:szCs w:val="18"/>
      <w:lang w:val="en-US"/>
    </w:rPr>
  </w:style>
  <w:style w:type="character" w:styleId="Refdecomentrio">
    <w:name w:val="annotation reference"/>
    <w:basedOn w:val="Fontepargpadro"/>
    <w:uiPriority w:val="99"/>
    <w:semiHidden/>
    <w:unhideWhenUsed/>
    <w:rsid w:val="00440EB6"/>
    <w:rPr>
      <w:sz w:val="16"/>
      <w:szCs w:val="16"/>
    </w:rPr>
  </w:style>
  <w:style w:type="paragraph" w:styleId="Textodecomentrio">
    <w:name w:val="annotation text"/>
    <w:basedOn w:val="Normal"/>
    <w:link w:val="TextodecomentrioChar"/>
    <w:uiPriority w:val="99"/>
    <w:semiHidden/>
    <w:unhideWhenUsed/>
    <w:rsid w:val="00440EB6"/>
    <w:pPr>
      <w:spacing w:line="240" w:lineRule="auto"/>
    </w:pPr>
    <w:rPr>
      <w:szCs w:val="20"/>
    </w:rPr>
  </w:style>
  <w:style w:type="character" w:customStyle="1" w:styleId="TextodecomentrioChar">
    <w:name w:val="Texto de comentário Char"/>
    <w:basedOn w:val="Fontepargpadro"/>
    <w:link w:val="Textodecomentrio"/>
    <w:uiPriority w:val="99"/>
    <w:semiHidden/>
    <w:rsid w:val="00440EB6"/>
    <w:rPr>
      <w:rFonts w:ascii="Calibri" w:hAnsi="Calibri"/>
      <w:sz w:val="20"/>
      <w:szCs w:val="20"/>
      <w:lang w:val="en-US"/>
    </w:rPr>
  </w:style>
  <w:style w:type="paragraph" w:styleId="Assuntodocomentrio">
    <w:name w:val="annotation subject"/>
    <w:basedOn w:val="Textodecomentrio"/>
    <w:next w:val="Textodecomentrio"/>
    <w:link w:val="AssuntodocomentrioChar"/>
    <w:uiPriority w:val="99"/>
    <w:semiHidden/>
    <w:unhideWhenUsed/>
    <w:rsid w:val="00440EB6"/>
    <w:rPr>
      <w:b/>
      <w:bCs/>
    </w:rPr>
  </w:style>
  <w:style w:type="character" w:customStyle="1" w:styleId="AssuntodocomentrioChar">
    <w:name w:val="Assunto do comentário Char"/>
    <w:basedOn w:val="TextodecomentrioChar"/>
    <w:link w:val="Assuntodocomentrio"/>
    <w:uiPriority w:val="99"/>
    <w:semiHidden/>
    <w:rsid w:val="00440EB6"/>
    <w:rPr>
      <w:rFonts w:ascii="Calibri" w:hAnsi="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026CC-23B8-4329-A76F-3C0C24B7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12</Pages>
  <Words>8690</Words>
  <Characters>46932</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Instituto Tecnologico Vale</Company>
  <LinksUpToDate>false</LinksUpToDate>
  <CharactersWithSpaces>55511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Gastauer</dc:creator>
  <cp:keywords/>
  <dc:description/>
  <cp:lastModifiedBy>Markus Gastauer</cp:lastModifiedBy>
  <cp:revision>4</cp:revision>
  <dcterms:created xsi:type="dcterms:W3CDTF">2018-11-28T19:01:00Z</dcterms:created>
  <dcterms:modified xsi:type="dcterms:W3CDTF">2019-04-26T11:53:00Z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http://www.zotero.org/styles/ecological-engineering</vt:lpwstr>
  </property>
  <property fmtid="{D5CDD505-2E9C-101B-9397-08002B2CF9AE}" pid="11" name="Mendeley Recent Style Name 4_1">
    <vt:lpwstr>Ecological Engineering</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http://www.zotero.org/styles/journal-of-environmental-management</vt:lpwstr>
  </property>
  <property fmtid="{D5CDD505-2E9C-101B-9397-08002B2CF9AE}" pid="19" name="Mendeley Recent Style Name 8_1">
    <vt:lpwstr>Journal of Environmental Management</vt:lpwstr>
  </property>
  <property fmtid="{D5CDD505-2E9C-101B-9397-08002B2CF9AE}" pid="20" name="Mendeley Recent Style Id 9_1">
    <vt:lpwstr>http://www.zotero.org/styles/restoration-ecology</vt:lpwstr>
  </property>
  <property fmtid="{D5CDD505-2E9C-101B-9397-08002B2CF9AE}" pid="21" name="Mendeley Recent Style Name 9_1">
    <vt:lpwstr>Restoration Ecology</vt:lpwstr>
  </property>
  <property fmtid="{D5CDD505-2E9C-101B-9397-08002B2CF9AE}" pid="22" name="Mendeley Document_1">
    <vt:lpwstr>True</vt:lpwstr>
  </property>
  <property fmtid="{D5CDD505-2E9C-101B-9397-08002B2CF9AE}" pid="23" name="Mendeley Unique User Id_1">
    <vt:lpwstr>22c8acf9-ae00-302d-9e6d-dffd1c82f934</vt:lpwstr>
  </property>
  <property fmtid="{D5CDD505-2E9C-101B-9397-08002B2CF9AE}" pid="24" name="Mendeley Citation Style_1">
    <vt:lpwstr>http://www.zotero.org/styles/restoration-ecology</vt:lpwstr>
  </property>
</Properties>
</file>