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A48EC" w14:textId="77777777" w:rsidR="00FF1832" w:rsidRPr="005D1F1A" w:rsidRDefault="00FF1832" w:rsidP="00FF1832">
      <w:pPr>
        <w:spacing w:line="480" w:lineRule="auto"/>
        <w:jc w:val="both"/>
        <w:rPr>
          <w:rFonts w:ascii="Arial" w:hAnsi="Arial" w:cs="Arial"/>
          <w:b/>
          <w:bCs/>
          <w:sz w:val="28"/>
          <w:szCs w:val="28"/>
        </w:rPr>
      </w:pPr>
      <w:r w:rsidRPr="00421FF5">
        <w:rPr>
          <w:rFonts w:ascii="Arial" w:hAnsi="Arial" w:cs="Arial"/>
          <w:b/>
          <w:bCs/>
          <w:sz w:val="28"/>
          <w:szCs w:val="28"/>
        </w:rPr>
        <w:t>Materials and Methods</w:t>
      </w:r>
    </w:p>
    <w:p w14:paraId="218A0820" w14:textId="77777777" w:rsidR="00BC6C53" w:rsidRPr="007629D5" w:rsidRDefault="00BC6C53" w:rsidP="00BC6C53">
      <w:pPr>
        <w:spacing w:line="480" w:lineRule="auto"/>
        <w:jc w:val="both"/>
        <w:rPr>
          <w:rFonts w:ascii="Arial" w:hAnsi="Arial" w:cs="Arial"/>
          <w:b/>
          <w:bCs/>
          <w:sz w:val="24"/>
          <w:szCs w:val="24"/>
        </w:rPr>
      </w:pPr>
      <w:r w:rsidRPr="007629D5">
        <w:rPr>
          <w:rFonts w:ascii="Arial" w:hAnsi="Arial" w:cs="Arial"/>
          <w:b/>
          <w:bCs/>
          <w:sz w:val="24"/>
          <w:szCs w:val="24"/>
        </w:rPr>
        <w:t>Study sites and sample collection</w:t>
      </w:r>
    </w:p>
    <w:p w14:paraId="47666EE5" w14:textId="71AC8F90" w:rsidR="00BC6C53" w:rsidRPr="005D1F1A" w:rsidRDefault="00BC6C53" w:rsidP="00BC6C53">
      <w:pPr>
        <w:spacing w:line="480" w:lineRule="auto"/>
        <w:rPr>
          <w:rFonts w:ascii="Arial" w:hAnsi="Arial" w:cs="Arial"/>
          <w:sz w:val="24"/>
          <w:szCs w:val="24"/>
        </w:rPr>
      </w:pPr>
      <w:r>
        <w:rPr>
          <w:rFonts w:ascii="Arial" w:hAnsi="Arial" w:cs="Arial"/>
          <w:sz w:val="24"/>
          <w:szCs w:val="24"/>
        </w:rPr>
        <w:t xml:space="preserve">A </w:t>
      </w:r>
      <w:r w:rsidRPr="00D73E87">
        <w:rPr>
          <w:rFonts w:ascii="Arial" w:hAnsi="Arial" w:cs="Arial"/>
          <w:sz w:val="24"/>
          <w:szCs w:val="24"/>
        </w:rPr>
        <w:t xml:space="preserve">total of </w:t>
      </w:r>
      <w:r>
        <w:rPr>
          <w:rFonts w:ascii="Arial" w:hAnsi="Arial" w:cs="Arial"/>
          <w:sz w:val="24"/>
          <w:szCs w:val="24"/>
        </w:rPr>
        <w:t>1,215</w:t>
      </w:r>
      <w:r w:rsidRPr="00D73E87">
        <w:rPr>
          <w:rFonts w:ascii="Arial" w:hAnsi="Arial" w:cs="Arial"/>
          <w:sz w:val="24"/>
          <w:szCs w:val="24"/>
        </w:rPr>
        <w:t xml:space="preserve"> </w:t>
      </w:r>
      <w:r w:rsidRPr="00D73E87">
        <w:rPr>
          <w:rFonts w:ascii="Arial" w:hAnsi="Arial" w:cs="Arial"/>
          <w:iCs/>
          <w:sz w:val="24"/>
          <w:szCs w:val="24"/>
        </w:rPr>
        <w:t>febrile patients</w:t>
      </w:r>
      <w:r>
        <w:rPr>
          <w:rFonts w:ascii="Arial" w:hAnsi="Arial" w:cs="Arial"/>
          <w:iCs/>
          <w:sz w:val="24"/>
          <w:szCs w:val="24"/>
        </w:rPr>
        <w:t xml:space="preserve"> were</w:t>
      </w:r>
      <w:r w:rsidRPr="00D73E87">
        <w:rPr>
          <w:rFonts w:ascii="Arial" w:hAnsi="Arial" w:cs="Arial"/>
          <w:sz w:val="24"/>
          <w:szCs w:val="24"/>
        </w:rPr>
        <w:t xml:space="preserve"> collected from </w:t>
      </w:r>
      <w:r w:rsidR="00DF5F42">
        <w:rPr>
          <w:rFonts w:ascii="Arial" w:hAnsi="Arial" w:cs="Arial"/>
          <w:sz w:val="24"/>
          <w:szCs w:val="24"/>
        </w:rPr>
        <w:t>seven</w:t>
      </w:r>
      <w:r w:rsidRPr="00D73E87">
        <w:rPr>
          <w:rFonts w:ascii="Arial" w:hAnsi="Arial" w:cs="Arial"/>
          <w:sz w:val="24"/>
          <w:szCs w:val="24"/>
        </w:rPr>
        <w:t xml:space="preserve"> study sites</w:t>
      </w:r>
      <w:r>
        <w:rPr>
          <w:rFonts w:ascii="Arial" w:hAnsi="Arial" w:cs="Arial"/>
          <w:sz w:val="24"/>
          <w:szCs w:val="24"/>
        </w:rPr>
        <w:t xml:space="preserve"> in four countries including (1) </w:t>
      </w:r>
      <w:proofErr w:type="spellStart"/>
      <w:r>
        <w:rPr>
          <w:rFonts w:ascii="Arial" w:hAnsi="Arial" w:cs="Arial"/>
          <w:sz w:val="24"/>
          <w:szCs w:val="24"/>
        </w:rPr>
        <w:t>Jimma</w:t>
      </w:r>
      <w:proofErr w:type="spellEnd"/>
      <w:r>
        <w:rPr>
          <w:rFonts w:ascii="Arial" w:hAnsi="Arial" w:cs="Arial"/>
          <w:sz w:val="24"/>
          <w:szCs w:val="24"/>
        </w:rPr>
        <w:t xml:space="preserve"> and Bonga</w:t>
      </w:r>
      <w:r w:rsidRPr="00D73E87">
        <w:rPr>
          <w:rFonts w:ascii="Arial" w:hAnsi="Arial" w:cs="Arial"/>
          <w:sz w:val="24"/>
          <w:szCs w:val="24"/>
        </w:rPr>
        <w:t xml:space="preserve"> in Ethiopia</w:t>
      </w:r>
      <w:r>
        <w:rPr>
          <w:rFonts w:ascii="Arial" w:hAnsi="Arial" w:cs="Arial"/>
          <w:sz w:val="24"/>
          <w:szCs w:val="24"/>
        </w:rPr>
        <w:t xml:space="preserve">; (2) Khartoum, River Nile, and New Halfa in Sudan; </w:t>
      </w:r>
      <w:r w:rsidRPr="00D73E87">
        <w:rPr>
          <w:rFonts w:ascii="Arial" w:hAnsi="Arial" w:cs="Arial"/>
          <w:sz w:val="24"/>
          <w:szCs w:val="24"/>
        </w:rPr>
        <w:t xml:space="preserve">and </w:t>
      </w:r>
      <w:r>
        <w:rPr>
          <w:rFonts w:ascii="Arial" w:hAnsi="Arial" w:cs="Arial"/>
          <w:sz w:val="24"/>
          <w:szCs w:val="24"/>
        </w:rPr>
        <w:t xml:space="preserve">(3) </w:t>
      </w:r>
      <w:proofErr w:type="spellStart"/>
      <w:r>
        <w:rPr>
          <w:rFonts w:ascii="Arial" w:hAnsi="Arial" w:cs="Arial"/>
          <w:sz w:val="24"/>
          <w:szCs w:val="24"/>
        </w:rPr>
        <w:t>Tutume</w:t>
      </w:r>
      <w:proofErr w:type="spellEnd"/>
      <w:r>
        <w:rPr>
          <w:rFonts w:ascii="Arial" w:hAnsi="Arial" w:cs="Arial"/>
          <w:sz w:val="24"/>
          <w:szCs w:val="24"/>
        </w:rPr>
        <w:t xml:space="preserve"> and </w:t>
      </w:r>
      <w:proofErr w:type="spellStart"/>
      <w:r>
        <w:rPr>
          <w:rFonts w:ascii="Arial" w:hAnsi="Arial" w:cs="Arial"/>
          <w:sz w:val="24"/>
          <w:szCs w:val="24"/>
        </w:rPr>
        <w:t>Kweneng</w:t>
      </w:r>
      <w:proofErr w:type="spellEnd"/>
      <w:r>
        <w:rPr>
          <w:rFonts w:ascii="Arial" w:hAnsi="Arial" w:cs="Arial"/>
          <w:sz w:val="24"/>
          <w:szCs w:val="24"/>
        </w:rPr>
        <w:t xml:space="preserve"> East in </w:t>
      </w:r>
      <w:r w:rsidRPr="00D73E87">
        <w:rPr>
          <w:rFonts w:ascii="Arial" w:hAnsi="Arial" w:cs="Arial"/>
          <w:sz w:val="24"/>
          <w:szCs w:val="24"/>
        </w:rPr>
        <w:t>Botswana (</w:t>
      </w:r>
      <w:r w:rsidRPr="00C6580D">
        <w:rPr>
          <w:rFonts w:ascii="Arial" w:hAnsi="Arial" w:cs="Arial"/>
          <w:b/>
          <w:bCs/>
          <w:sz w:val="24"/>
          <w:szCs w:val="24"/>
        </w:rPr>
        <w:t>Figure 1</w:t>
      </w:r>
      <w:r w:rsidRPr="00D73E87">
        <w:rPr>
          <w:rFonts w:ascii="Arial" w:hAnsi="Arial" w:cs="Arial"/>
          <w:sz w:val="24"/>
          <w:szCs w:val="24"/>
        </w:rPr>
        <w:t xml:space="preserve">). </w:t>
      </w:r>
      <w:r>
        <w:rPr>
          <w:rFonts w:ascii="Arial" w:hAnsi="Arial" w:cs="Arial"/>
          <w:sz w:val="24"/>
          <w:szCs w:val="24"/>
        </w:rPr>
        <w:t>Finger-prick blood</w:t>
      </w:r>
      <w:r w:rsidRPr="005D1F1A">
        <w:rPr>
          <w:rFonts w:ascii="Arial" w:hAnsi="Arial" w:cs="Arial"/>
          <w:sz w:val="24"/>
          <w:szCs w:val="24"/>
        </w:rPr>
        <w:t xml:space="preserve"> samples were obtained from patients who visited the health centers/hospitals </w:t>
      </w:r>
      <w:r>
        <w:rPr>
          <w:rFonts w:ascii="Arial" w:hAnsi="Arial" w:cs="Arial"/>
          <w:sz w:val="24"/>
          <w:szCs w:val="24"/>
        </w:rPr>
        <w:t>at each of the study sites</w:t>
      </w:r>
      <w:r w:rsidRPr="005D1F1A">
        <w:rPr>
          <w:rFonts w:ascii="Arial" w:hAnsi="Arial" w:cs="Arial"/>
          <w:sz w:val="24"/>
          <w:szCs w:val="24"/>
        </w:rPr>
        <w:t xml:space="preserve">. Thick and thin blood smears were prepared for each subject to screen for </w:t>
      </w:r>
      <w:r w:rsidRPr="005D1F1A">
        <w:rPr>
          <w:rFonts w:ascii="Arial" w:hAnsi="Arial" w:cs="Arial"/>
          <w:i/>
          <w:sz w:val="24"/>
          <w:szCs w:val="24"/>
        </w:rPr>
        <w:t>P. vivax</w:t>
      </w:r>
      <w:r w:rsidRPr="005D1F1A">
        <w:rPr>
          <w:rFonts w:ascii="Arial" w:hAnsi="Arial" w:cs="Arial"/>
          <w:sz w:val="24"/>
          <w:szCs w:val="24"/>
        </w:rPr>
        <w:t xml:space="preserve"> by microscopy. Parasites were counted against 200 leukocytes and a slide was considered negative when no parasites were observed after counting over 100 microscopic fields. All slides were read in duplicate by two microscopists at the time of sample collection. Three to four blood spots, each equivalent to ~50μl of blood, were blotted on Whatman 3MM filter paper from each participating individual. Parasite DNA was extracted from dried blood spots by the Saponin/</w:t>
      </w:r>
      <w:proofErr w:type="spellStart"/>
      <w:r w:rsidRPr="005D1F1A">
        <w:rPr>
          <w:rFonts w:ascii="Arial" w:hAnsi="Arial" w:cs="Arial"/>
          <w:sz w:val="24"/>
          <w:szCs w:val="24"/>
        </w:rPr>
        <w:t>Chelex</w:t>
      </w:r>
      <w:proofErr w:type="spellEnd"/>
      <w:r w:rsidRPr="005D1F1A">
        <w:rPr>
          <w:rFonts w:ascii="Arial" w:hAnsi="Arial" w:cs="Arial"/>
          <w:sz w:val="24"/>
          <w:szCs w:val="24"/>
        </w:rPr>
        <w:t xml:space="preserve"> method </w:t>
      </w:r>
      <w:r w:rsidRPr="00A576DF">
        <w:rPr>
          <w:rFonts w:ascii="Arial" w:hAnsi="Arial" w:cs="Arial"/>
          <w:sz w:val="24"/>
          <w:szCs w:val="24"/>
        </w:rPr>
        <w:t>[</w:t>
      </w:r>
      <w:r w:rsidR="00DA3BB0">
        <w:rPr>
          <w:rFonts w:ascii="Arial" w:hAnsi="Arial" w:cs="Arial"/>
          <w:sz w:val="24"/>
          <w:szCs w:val="24"/>
        </w:rPr>
        <w:t>1</w:t>
      </w:r>
      <w:r w:rsidRPr="00A576DF">
        <w:rPr>
          <w:rFonts w:ascii="Arial" w:hAnsi="Arial" w:cs="Arial"/>
          <w:sz w:val="24"/>
          <w:szCs w:val="24"/>
        </w:rPr>
        <w:t>] and genomic</w:t>
      </w:r>
      <w:r w:rsidRPr="005D1F1A">
        <w:rPr>
          <w:rFonts w:ascii="Arial" w:hAnsi="Arial" w:cs="Arial"/>
          <w:sz w:val="24"/>
          <w:szCs w:val="24"/>
        </w:rPr>
        <w:t xml:space="preserve"> DNA was eluted in a total volume of 200 </w:t>
      </w:r>
      <w:proofErr w:type="spellStart"/>
      <w:r w:rsidRPr="005D1F1A">
        <w:rPr>
          <w:rFonts w:ascii="Arial" w:hAnsi="Arial" w:cs="Arial"/>
          <w:sz w:val="24"/>
          <w:szCs w:val="24"/>
        </w:rPr>
        <w:t>μl</w:t>
      </w:r>
      <w:proofErr w:type="spellEnd"/>
      <w:r w:rsidRPr="005D1F1A">
        <w:rPr>
          <w:rFonts w:ascii="Arial" w:hAnsi="Arial" w:cs="Arial"/>
          <w:sz w:val="24"/>
          <w:szCs w:val="24"/>
        </w:rPr>
        <w:t xml:space="preserve"> TE buffer. Eluted DNA was used for PCR diagnosis</w:t>
      </w:r>
      <w:r>
        <w:rPr>
          <w:rFonts w:ascii="Arial" w:hAnsi="Arial" w:cs="Arial"/>
          <w:sz w:val="24"/>
          <w:szCs w:val="24"/>
        </w:rPr>
        <w:t>,</w:t>
      </w:r>
      <w:r w:rsidRPr="005D1F1A">
        <w:rPr>
          <w:rFonts w:ascii="Arial" w:hAnsi="Arial" w:cs="Arial"/>
          <w:sz w:val="24"/>
          <w:szCs w:val="24"/>
        </w:rPr>
        <w:t xml:space="preserve"> </w:t>
      </w:r>
      <w:r>
        <w:rPr>
          <w:rFonts w:ascii="Arial" w:hAnsi="Arial" w:cs="Arial"/>
          <w:sz w:val="24"/>
          <w:szCs w:val="24"/>
        </w:rPr>
        <w:t xml:space="preserve">quantification and </w:t>
      </w:r>
      <w:r w:rsidRPr="005D1F1A">
        <w:rPr>
          <w:rFonts w:ascii="Arial" w:hAnsi="Arial" w:cs="Arial"/>
          <w:sz w:val="24"/>
          <w:szCs w:val="24"/>
        </w:rPr>
        <w:t>genotyping of malaria parasites.</w:t>
      </w:r>
    </w:p>
    <w:p w14:paraId="3FB914AB" w14:textId="77777777" w:rsidR="00BC6C53" w:rsidRDefault="00BC6C53" w:rsidP="00BC6C53">
      <w:pPr>
        <w:spacing w:line="480" w:lineRule="auto"/>
        <w:jc w:val="both"/>
        <w:rPr>
          <w:rFonts w:ascii="Arial" w:hAnsi="Arial" w:cs="Arial"/>
          <w:sz w:val="24"/>
          <w:szCs w:val="24"/>
        </w:rPr>
      </w:pPr>
    </w:p>
    <w:p w14:paraId="3A5AB6EB" w14:textId="77777777" w:rsidR="00BC6C53" w:rsidRDefault="00BC6C53" w:rsidP="00BC6C53">
      <w:pPr>
        <w:spacing w:line="480" w:lineRule="auto"/>
        <w:jc w:val="both"/>
        <w:rPr>
          <w:rFonts w:ascii="Arial" w:hAnsi="Arial" w:cs="Arial"/>
          <w:b/>
          <w:bCs/>
          <w:i/>
          <w:iCs/>
          <w:sz w:val="24"/>
          <w:szCs w:val="24"/>
        </w:rPr>
      </w:pPr>
      <w:r w:rsidRPr="00FC080F">
        <w:rPr>
          <w:rFonts w:ascii="Arial" w:hAnsi="Arial" w:cs="Arial"/>
          <w:b/>
          <w:bCs/>
          <w:sz w:val="24"/>
          <w:szCs w:val="24"/>
        </w:rPr>
        <w:t>Molecular screening</w:t>
      </w:r>
      <w:r>
        <w:rPr>
          <w:rFonts w:ascii="Arial" w:hAnsi="Arial" w:cs="Arial"/>
          <w:b/>
          <w:bCs/>
          <w:sz w:val="24"/>
          <w:szCs w:val="24"/>
        </w:rPr>
        <w:t xml:space="preserve"> </w:t>
      </w:r>
      <w:r w:rsidRPr="00FC080F">
        <w:rPr>
          <w:rFonts w:ascii="Arial" w:hAnsi="Arial" w:cs="Arial"/>
          <w:b/>
          <w:bCs/>
          <w:sz w:val="24"/>
          <w:szCs w:val="24"/>
        </w:rPr>
        <w:t xml:space="preserve">of </w:t>
      </w:r>
      <w:r w:rsidRPr="00FC080F">
        <w:rPr>
          <w:rFonts w:ascii="Arial" w:hAnsi="Arial" w:cs="Arial"/>
          <w:b/>
          <w:bCs/>
          <w:i/>
          <w:iCs/>
          <w:sz w:val="24"/>
          <w:szCs w:val="24"/>
        </w:rPr>
        <w:t>P. vivax</w:t>
      </w:r>
    </w:p>
    <w:p w14:paraId="45282432" w14:textId="3A3FE14A" w:rsidR="00BC6C53" w:rsidRPr="008C29C4" w:rsidRDefault="00BC6C53" w:rsidP="00BC6C53">
      <w:pPr>
        <w:autoSpaceDE w:val="0"/>
        <w:autoSpaceDN w:val="0"/>
        <w:adjustRightInd w:val="0"/>
        <w:spacing w:after="0" w:line="480" w:lineRule="auto"/>
        <w:rPr>
          <w:rFonts w:ascii="Arial" w:hAnsi="Arial" w:cs="Arial"/>
          <w:sz w:val="24"/>
          <w:szCs w:val="24"/>
        </w:rPr>
      </w:pPr>
      <w:r w:rsidRPr="008C29C4">
        <w:rPr>
          <w:rFonts w:ascii="Arial" w:hAnsi="Arial" w:cs="Arial"/>
          <w:sz w:val="24"/>
          <w:szCs w:val="24"/>
        </w:rPr>
        <w:t>Parasite gene copy number was estimated using qPCR, specifically the SYBR Green detection method [</w:t>
      </w:r>
      <w:r w:rsidR="007D130A">
        <w:rPr>
          <w:rFonts w:ascii="Arial" w:hAnsi="Arial" w:cs="Arial"/>
          <w:sz w:val="24"/>
          <w:szCs w:val="24"/>
        </w:rPr>
        <w:t>2,3</w:t>
      </w:r>
      <w:r w:rsidRPr="008C29C4">
        <w:rPr>
          <w:rFonts w:ascii="Arial" w:hAnsi="Arial" w:cs="Arial"/>
          <w:sz w:val="24"/>
          <w:szCs w:val="24"/>
        </w:rPr>
        <w:t>] using</w:t>
      </w:r>
      <w:r>
        <w:rPr>
          <w:rFonts w:ascii="Arial" w:hAnsi="Arial" w:cs="Arial"/>
          <w:sz w:val="24"/>
          <w:szCs w:val="24"/>
        </w:rPr>
        <w:t xml:space="preserve"> publish</w:t>
      </w:r>
      <w:r w:rsidRPr="008C29C4">
        <w:rPr>
          <w:rFonts w:ascii="Arial" w:hAnsi="Arial" w:cs="Arial"/>
          <w:sz w:val="24"/>
          <w:szCs w:val="24"/>
        </w:rPr>
        <w:t xml:space="preserve">ed primers (forward: 5′-GAATTTTCTCTTCGGAGTTTATTCTTAGATTGC-3′; reverse: 5′GCCGCAAGCTCCACGCCTGGTGGTGC-3′) specific to </w:t>
      </w:r>
      <w:r w:rsidRPr="008C29C4">
        <w:rPr>
          <w:rFonts w:ascii="Arial" w:hAnsi="Arial" w:cs="Arial"/>
          <w:i/>
          <w:iCs/>
          <w:sz w:val="24"/>
          <w:szCs w:val="24"/>
        </w:rPr>
        <w:t>P. vivax</w:t>
      </w:r>
      <w:r w:rsidRPr="008C29C4">
        <w:rPr>
          <w:rFonts w:ascii="Arial" w:hAnsi="Arial" w:cs="Arial"/>
          <w:sz w:val="24"/>
          <w:szCs w:val="24"/>
        </w:rPr>
        <w:t xml:space="preserve"> that targeted the 18S rRNA genes. Amplification was conducted in a 20 </w:t>
      </w:r>
      <w:proofErr w:type="spellStart"/>
      <w:r w:rsidRPr="008C29C4">
        <w:rPr>
          <w:rFonts w:ascii="Arial" w:hAnsi="Arial" w:cs="Arial"/>
          <w:sz w:val="24"/>
          <w:szCs w:val="24"/>
        </w:rPr>
        <w:t>μl</w:t>
      </w:r>
      <w:proofErr w:type="spellEnd"/>
      <w:r w:rsidRPr="008C29C4">
        <w:rPr>
          <w:rFonts w:ascii="Arial" w:hAnsi="Arial" w:cs="Arial"/>
          <w:sz w:val="24"/>
          <w:szCs w:val="24"/>
        </w:rPr>
        <w:t xml:space="preserve"> reaction mixture containing 2 </w:t>
      </w:r>
      <w:proofErr w:type="spellStart"/>
      <w:r w:rsidRPr="008C29C4">
        <w:rPr>
          <w:rFonts w:ascii="Arial" w:hAnsi="Arial" w:cs="Arial"/>
          <w:sz w:val="24"/>
          <w:szCs w:val="24"/>
        </w:rPr>
        <w:t>μl</w:t>
      </w:r>
      <w:proofErr w:type="spellEnd"/>
      <w:r w:rsidRPr="008C29C4">
        <w:rPr>
          <w:rFonts w:ascii="Arial" w:hAnsi="Arial" w:cs="Arial"/>
          <w:sz w:val="24"/>
          <w:szCs w:val="24"/>
        </w:rPr>
        <w:t xml:space="preserve"> of </w:t>
      </w:r>
      <w:r w:rsidRPr="008C29C4">
        <w:rPr>
          <w:rFonts w:ascii="Arial" w:hAnsi="Arial" w:cs="Arial"/>
          <w:sz w:val="24"/>
          <w:szCs w:val="24"/>
        </w:rPr>
        <w:lastRenderedPageBreak/>
        <w:t xml:space="preserve">genomic DNA, 10 </w:t>
      </w:r>
      <w:proofErr w:type="spellStart"/>
      <w:r w:rsidRPr="008C29C4">
        <w:rPr>
          <w:rFonts w:ascii="Arial" w:hAnsi="Arial" w:cs="Arial"/>
          <w:sz w:val="24"/>
          <w:szCs w:val="24"/>
        </w:rPr>
        <w:t>μl</w:t>
      </w:r>
      <w:proofErr w:type="spellEnd"/>
      <w:r w:rsidRPr="008C29C4">
        <w:rPr>
          <w:rFonts w:ascii="Arial" w:hAnsi="Arial" w:cs="Arial"/>
          <w:sz w:val="24"/>
          <w:szCs w:val="24"/>
        </w:rPr>
        <w:t xml:space="preserve"> SYBR Green qPCR Master Mix (Thermo Scientific), and 0.5 </w:t>
      </w:r>
      <w:proofErr w:type="spellStart"/>
      <w:r w:rsidRPr="008C29C4">
        <w:rPr>
          <w:rFonts w:ascii="Arial" w:hAnsi="Arial" w:cs="Arial"/>
          <w:sz w:val="24"/>
          <w:szCs w:val="24"/>
        </w:rPr>
        <w:t>uM</w:t>
      </w:r>
      <w:proofErr w:type="spellEnd"/>
      <w:r w:rsidRPr="008C29C4">
        <w:rPr>
          <w:rFonts w:ascii="Arial" w:hAnsi="Arial" w:cs="Arial"/>
          <w:sz w:val="24"/>
          <w:szCs w:val="24"/>
        </w:rPr>
        <w:t xml:space="preserve"> primer. The reactions were performed in </w:t>
      </w:r>
      <w:proofErr w:type="spellStart"/>
      <w:r w:rsidRPr="008C29C4">
        <w:rPr>
          <w:rFonts w:ascii="Arial" w:hAnsi="Arial" w:cs="Arial"/>
          <w:sz w:val="24"/>
          <w:szCs w:val="24"/>
        </w:rPr>
        <w:t>QuantStudio</w:t>
      </w:r>
      <w:proofErr w:type="spellEnd"/>
      <w:r w:rsidRPr="008C29C4">
        <w:rPr>
          <w:rFonts w:ascii="Arial" w:hAnsi="Arial" w:cs="Arial"/>
          <w:sz w:val="24"/>
          <w:szCs w:val="24"/>
        </w:rPr>
        <w:t xml:space="preserve"> Real-Time PCR Detection System (Thermo Fisher), with an initial denaturation at 95°C for 3 min, followed by 45 cycles at 94°C for 30 sec, 55°C for 30 sec, and 68°C for 1 min with a final 95°C for 10 sec. This was followed by a melting curve step of temperature ranging from 65°C to 95°C with 0.5°C increments to determine the melting temperature of each amplified product. Each assay included positive controls of </w:t>
      </w:r>
      <w:r w:rsidRPr="008C29C4">
        <w:rPr>
          <w:rFonts w:ascii="Arial" w:hAnsi="Arial" w:cs="Arial"/>
          <w:i/>
          <w:iCs/>
          <w:sz w:val="24"/>
          <w:szCs w:val="24"/>
        </w:rPr>
        <w:t>P. vivax</w:t>
      </w:r>
      <w:r w:rsidRPr="008C29C4">
        <w:rPr>
          <w:rFonts w:ascii="Arial" w:hAnsi="Arial" w:cs="Arial"/>
          <w:sz w:val="24"/>
          <w:szCs w:val="24"/>
        </w:rPr>
        <w:t xml:space="preserve"> </w:t>
      </w:r>
      <w:proofErr w:type="spellStart"/>
      <w:r w:rsidRPr="008C29C4">
        <w:rPr>
          <w:rFonts w:ascii="Arial" w:hAnsi="Arial" w:cs="Arial"/>
          <w:sz w:val="24"/>
          <w:szCs w:val="24"/>
        </w:rPr>
        <w:t>Pakchong</w:t>
      </w:r>
      <w:proofErr w:type="spellEnd"/>
      <w:r>
        <w:rPr>
          <w:rFonts w:ascii="Arial" w:hAnsi="Arial" w:cs="Arial"/>
          <w:sz w:val="24"/>
          <w:szCs w:val="24"/>
        </w:rPr>
        <w:t xml:space="preserve"> </w:t>
      </w:r>
      <w:r w:rsidRPr="008C29C4">
        <w:rPr>
          <w:rFonts w:ascii="Arial" w:hAnsi="Arial" w:cs="Arial"/>
          <w:sz w:val="24"/>
          <w:szCs w:val="24"/>
        </w:rPr>
        <w:t xml:space="preserve">(MRA-342G) and Nicaragua (MRA-340G) isolates, in addition to negative controls, including uninfected samples and water. A standard curve was produced from a ten-fold dilution series of the </w:t>
      </w:r>
      <w:r w:rsidRPr="008C29C4">
        <w:rPr>
          <w:rFonts w:ascii="Arial" w:hAnsi="Arial" w:cs="Arial"/>
          <w:i/>
          <w:iCs/>
          <w:sz w:val="24"/>
          <w:szCs w:val="24"/>
        </w:rPr>
        <w:t>P. vivax</w:t>
      </w:r>
      <w:r w:rsidRPr="008C29C4">
        <w:rPr>
          <w:rFonts w:ascii="Arial" w:hAnsi="Arial" w:cs="Arial"/>
          <w:sz w:val="24"/>
          <w:szCs w:val="24"/>
        </w:rPr>
        <w:t xml:space="preserve"> control plasmid to determine the efficiency and detection limit of the qPCR. Melting curve analyses were performed for each amplified sample to confirm specific amplifications of the target sequence. The slope of the linear regression</w:t>
      </w:r>
      <w:r>
        <w:rPr>
          <w:rFonts w:ascii="Arial" w:hAnsi="Arial" w:cs="Arial"/>
          <w:sz w:val="24"/>
          <w:szCs w:val="24"/>
        </w:rPr>
        <w:t xml:space="preserve"> </w:t>
      </w:r>
      <w:r w:rsidRPr="008C29C4">
        <w:rPr>
          <w:rFonts w:ascii="Arial" w:hAnsi="Arial" w:cs="Arial"/>
          <w:sz w:val="24"/>
          <w:szCs w:val="24"/>
        </w:rPr>
        <w:t>of threshold cycle number (</w:t>
      </w:r>
      <w:r w:rsidRPr="00B354F4">
        <w:rPr>
          <w:rFonts w:ascii="Arial" w:hAnsi="Arial" w:cs="Arial"/>
          <w:i/>
          <w:iCs/>
          <w:sz w:val="24"/>
          <w:szCs w:val="24"/>
        </w:rPr>
        <w:t>Ct</w:t>
      </w:r>
      <w:r w:rsidRPr="008C29C4">
        <w:rPr>
          <w:rFonts w:ascii="Arial" w:hAnsi="Arial" w:cs="Arial"/>
          <w:sz w:val="24"/>
          <w:szCs w:val="24"/>
        </w:rPr>
        <w:t>) versus log10 (gene copy number) was used to calculate amplification efficiency of</w:t>
      </w:r>
      <w:r>
        <w:rPr>
          <w:rFonts w:ascii="Arial" w:hAnsi="Arial" w:cs="Arial"/>
          <w:sz w:val="24"/>
          <w:szCs w:val="24"/>
        </w:rPr>
        <w:t xml:space="preserve"> </w:t>
      </w:r>
      <w:r w:rsidRPr="008C29C4">
        <w:rPr>
          <w:rFonts w:ascii="Arial" w:hAnsi="Arial" w:cs="Arial"/>
          <w:sz w:val="24"/>
          <w:szCs w:val="24"/>
        </w:rPr>
        <w:t xml:space="preserve">each plate run based on internal standard controls. For the measure of reproducibility of the threshold cycle number, the mean </w:t>
      </w:r>
      <w:r w:rsidRPr="00B354F4">
        <w:rPr>
          <w:rFonts w:ascii="Arial" w:hAnsi="Arial" w:cs="Arial"/>
          <w:i/>
          <w:iCs/>
          <w:sz w:val="24"/>
          <w:szCs w:val="24"/>
        </w:rPr>
        <w:t>Ct</w:t>
      </w:r>
      <w:r w:rsidRPr="008C29C4">
        <w:rPr>
          <w:rFonts w:ascii="Arial" w:hAnsi="Arial" w:cs="Arial"/>
          <w:sz w:val="24"/>
          <w:szCs w:val="24"/>
        </w:rPr>
        <w:t xml:space="preserve"> value and standard error was calculated from three independent assays of each sample. A cut-off threshold of 0.02 fluorescence units that robustly represented the threshold cycle at the log-linear phase of the amplification and above the background noise was set to determine </w:t>
      </w:r>
      <w:r w:rsidRPr="00B354F4">
        <w:rPr>
          <w:rFonts w:ascii="Arial" w:hAnsi="Arial" w:cs="Arial"/>
          <w:i/>
          <w:iCs/>
          <w:sz w:val="24"/>
          <w:szCs w:val="24"/>
        </w:rPr>
        <w:t>Ct</w:t>
      </w:r>
      <w:r w:rsidRPr="008C29C4">
        <w:rPr>
          <w:rFonts w:ascii="Arial" w:hAnsi="Arial" w:cs="Arial"/>
          <w:sz w:val="24"/>
          <w:szCs w:val="24"/>
        </w:rPr>
        <w:t xml:space="preserve"> value for each assay. Samples yielding </w:t>
      </w:r>
      <w:r w:rsidRPr="00C04CB0">
        <w:rPr>
          <w:rFonts w:ascii="Arial" w:hAnsi="Arial" w:cs="Arial"/>
          <w:i/>
          <w:iCs/>
          <w:sz w:val="24"/>
          <w:szCs w:val="24"/>
        </w:rPr>
        <w:t>Ct</w:t>
      </w:r>
      <w:r>
        <w:rPr>
          <w:rFonts w:ascii="Arial" w:hAnsi="Arial" w:cs="Arial"/>
          <w:sz w:val="24"/>
          <w:szCs w:val="24"/>
        </w:rPr>
        <w:t xml:space="preserve"> </w:t>
      </w:r>
      <w:r w:rsidRPr="008C29C4">
        <w:rPr>
          <w:rFonts w:ascii="Arial" w:hAnsi="Arial" w:cs="Arial"/>
          <w:sz w:val="24"/>
          <w:szCs w:val="24"/>
        </w:rPr>
        <w:t xml:space="preserve">values higher than 40 (as indicated in the negative controls) were considered negative for </w:t>
      </w:r>
      <w:r w:rsidRPr="008C29C4">
        <w:rPr>
          <w:rFonts w:ascii="Arial" w:hAnsi="Arial" w:cs="Arial"/>
          <w:i/>
          <w:iCs/>
          <w:sz w:val="24"/>
          <w:szCs w:val="24"/>
        </w:rPr>
        <w:t>Plasmodium</w:t>
      </w:r>
      <w:r w:rsidRPr="008C29C4">
        <w:rPr>
          <w:rFonts w:ascii="Arial" w:hAnsi="Arial" w:cs="Arial"/>
          <w:sz w:val="24"/>
          <w:szCs w:val="24"/>
        </w:rPr>
        <w:t xml:space="preserve"> species. The amount of parasite density in a sample was quantified by converting the </w:t>
      </w:r>
      <w:r w:rsidRPr="00C04CB0">
        <w:rPr>
          <w:rFonts w:ascii="Arial" w:hAnsi="Arial" w:cs="Arial"/>
          <w:i/>
          <w:iCs/>
          <w:sz w:val="24"/>
          <w:szCs w:val="24"/>
        </w:rPr>
        <w:t>Ct</w:t>
      </w:r>
      <w:r>
        <w:rPr>
          <w:rFonts w:ascii="Arial" w:hAnsi="Arial" w:cs="Arial"/>
          <w:sz w:val="24"/>
          <w:szCs w:val="24"/>
        </w:rPr>
        <w:t xml:space="preserve"> values</w:t>
      </w:r>
      <w:r w:rsidRPr="008C29C4">
        <w:rPr>
          <w:rFonts w:ascii="Arial" w:hAnsi="Arial" w:cs="Arial"/>
          <w:sz w:val="24"/>
          <w:szCs w:val="24"/>
        </w:rPr>
        <w:t xml:space="preserve"> into gene copy number (GCN) using the follow equation: </w:t>
      </w:r>
      <w:proofErr w:type="spellStart"/>
      <w:r w:rsidRPr="008C29C4">
        <w:rPr>
          <w:rFonts w:ascii="Arial" w:hAnsi="Arial" w:cs="Arial"/>
          <w:sz w:val="24"/>
          <w:szCs w:val="24"/>
        </w:rPr>
        <w:t>GCN</w:t>
      </w:r>
      <w:r w:rsidRPr="00C04CB0">
        <w:rPr>
          <w:rFonts w:ascii="Arial" w:hAnsi="Arial" w:cs="Arial"/>
          <w:sz w:val="24"/>
          <w:szCs w:val="24"/>
          <w:vertAlign w:val="subscript"/>
        </w:rPr>
        <w:t>sample</w:t>
      </w:r>
      <w:proofErr w:type="spellEnd"/>
      <w:r w:rsidRPr="008C29C4">
        <w:rPr>
          <w:rFonts w:ascii="Arial" w:hAnsi="Arial" w:cs="Arial"/>
          <w:sz w:val="24"/>
          <w:szCs w:val="24"/>
        </w:rPr>
        <w:t xml:space="preserve"> = 2 </w:t>
      </w:r>
      <w:r w:rsidRPr="00C04CB0">
        <w:rPr>
          <w:rFonts w:ascii="Arial" w:hAnsi="Arial" w:cs="Arial"/>
          <w:sz w:val="24"/>
          <w:szCs w:val="24"/>
          <w:vertAlign w:val="superscript"/>
        </w:rPr>
        <w:t>E</w:t>
      </w:r>
      <w:r w:rsidRPr="00C04CB0">
        <w:rPr>
          <w:rFonts w:ascii="Arial Unicode MS" w:eastAsia="Arial Unicode MS" w:hAnsi="Arial Unicode MS" w:cs="Arial Unicode MS" w:hint="eastAsia"/>
          <w:sz w:val="24"/>
          <w:szCs w:val="24"/>
          <w:vertAlign w:val="superscript"/>
        </w:rPr>
        <w:t>×</w:t>
      </w:r>
      <w:r w:rsidRPr="00C04CB0">
        <w:rPr>
          <w:rFonts w:ascii="Arial" w:hAnsi="Arial" w:cs="Arial"/>
          <w:sz w:val="24"/>
          <w:szCs w:val="24"/>
          <w:vertAlign w:val="superscript"/>
        </w:rPr>
        <w:t>(40-</w:t>
      </w:r>
      <w:r w:rsidRPr="00C04CB0">
        <w:rPr>
          <w:rFonts w:ascii="Arial" w:hAnsi="Arial" w:cs="Arial"/>
          <w:i/>
          <w:iCs/>
          <w:sz w:val="24"/>
          <w:szCs w:val="24"/>
          <w:vertAlign w:val="superscript"/>
        </w:rPr>
        <w:t>Ct</w:t>
      </w:r>
      <w:r w:rsidRPr="00C04CB0">
        <w:rPr>
          <w:rFonts w:ascii="Arial" w:hAnsi="Arial" w:cs="Arial"/>
          <w:sz w:val="24"/>
          <w:szCs w:val="24"/>
          <w:vertAlign w:val="superscript"/>
        </w:rPr>
        <w:t>sample)</w:t>
      </w:r>
      <w:r w:rsidRPr="008C29C4">
        <w:rPr>
          <w:rFonts w:ascii="Arial" w:hAnsi="Arial" w:cs="Arial"/>
          <w:sz w:val="24"/>
          <w:szCs w:val="24"/>
        </w:rPr>
        <w:t xml:space="preserve">; where GCN stands for gene copy number, </w:t>
      </w:r>
      <w:r w:rsidRPr="00C04CB0">
        <w:rPr>
          <w:rFonts w:ascii="Arial" w:hAnsi="Arial" w:cs="Arial"/>
          <w:i/>
          <w:iCs/>
          <w:sz w:val="24"/>
          <w:szCs w:val="24"/>
        </w:rPr>
        <w:t>Ct</w:t>
      </w:r>
      <w:r w:rsidRPr="008C29C4">
        <w:rPr>
          <w:rFonts w:ascii="Arial" w:hAnsi="Arial" w:cs="Arial"/>
          <w:sz w:val="24"/>
          <w:szCs w:val="24"/>
        </w:rPr>
        <w:t xml:space="preserve"> for the threshold cycle of the sample, and E for amplification </w:t>
      </w:r>
      <w:r w:rsidRPr="008C29C4">
        <w:rPr>
          <w:rFonts w:ascii="Arial" w:hAnsi="Arial" w:cs="Arial"/>
          <w:sz w:val="24"/>
          <w:szCs w:val="24"/>
        </w:rPr>
        <w:lastRenderedPageBreak/>
        <w:t xml:space="preserve">efficiency. The differences in the log-transformed parasite GCN between samples among </w:t>
      </w:r>
      <w:r>
        <w:rPr>
          <w:rFonts w:ascii="Arial" w:hAnsi="Arial" w:cs="Arial"/>
          <w:sz w:val="24"/>
          <w:szCs w:val="24"/>
        </w:rPr>
        <w:t xml:space="preserve">the </w:t>
      </w:r>
      <w:r w:rsidRPr="008C29C4">
        <w:rPr>
          <w:rFonts w:ascii="Arial" w:hAnsi="Arial" w:cs="Arial"/>
          <w:sz w:val="24"/>
          <w:szCs w:val="24"/>
        </w:rPr>
        <w:t>study sites were assessed for significance at the level of 0.05 by one-tailed t-tests. Variations in GCN among samples were presented as boxplots showing the median and interquartile range values.</w:t>
      </w:r>
    </w:p>
    <w:p w14:paraId="30016F4D" w14:textId="77777777" w:rsidR="00BC6C53" w:rsidRPr="00B55BD9" w:rsidRDefault="00BC6C53" w:rsidP="00BC6C53">
      <w:pPr>
        <w:spacing w:line="480" w:lineRule="auto"/>
        <w:jc w:val="both"/>
        <w:rPr>
          <w:rFonts w:ascii="Arial" w:hAnsi="Arial" w:cs="Arial"/>
          <w:b/>
          <w:bCs/>
          <w:sz w:val="24"/>
          <w:szCs w:val="24"/>
        </w:rPr>
      </w:pPr>
    </w:p>
    <w:p w14:paraId="4217AE58" w14:textId="77777777" w:rsidR="00BC6C53" w:rsidRPr="002F7910" w:rsidRDefault="00BC6C53" w:rsidP="00BC6C53">
      <w:pPr>
        <w:autoSpaceDE w:val="0"/>
        <w:autoSpaceDN w:val="0"/>
        <w:adjustRightInd w:val="0"/>
        <w:spacing w:line="480" w:lineRule="auto"/>
        <w:rPr>
          <w:rFonts w:ascii="Arial" w:hAnsi="Arial" w:cs="Arial"/>
          <w:b/>
          <w:sz w:val="24"/>
          <w:szCs w:val="24"/>
        </w:rPr>
      </w:pPr>
      <w:r w:rsidRPr="002F7910">
        <w:rPr>
          <w:rFonts w:ascii="Arial" w:hAnsi="Arial" w:cs="Arial"/>
          <w:b/>
          <w:sz w:val="24"/>
          <w:szCs w:val="24"/>
        </w:rPr>
        <w:t>Duffy blood group genotyping</w:t>
      </w:r>
    </w:p>
    <w:p w14:paraId="218849DA" w14:textId="271E62B5" w:rsidR="00BC6C53" w:rsidRPr="002F7910" w:rsidRDefault="00BC6C53" w:rsidP="00BC6C53">
      <w:pPr>
        <w:autoSpaceDE w:val="0"/>
        <w:autoSpaceDN w:val="0"/>
        <w:adjustRightInd w:val="0"/>
        <w:spacing w:line="480" w:lineRule="auto"/>
        <w:rPr>
          <w:rFonts w:ascii="Arial" w:hAnsi="Arial" w:cs="Arial"/>
          <w:sz w:val="24"/>
          <w:szCs w:val="24"/>
        </w:rPr>
      </w:pPr>
      <w:r w:rsidRPr="002F7910">
        <w:rPr>
          <w:rFonts w:ascii="Arial" w:eastAsia="Times New Roman" w:hAnsi="Arial" w:cs="Arial"/>
          <w:sz w:val="24"/>
          <w:szCs w:val="24"/>
        </w:rPr>
        <w:t xml:space="preserve">For all </w:t>
      </w:r>
      <w:r>
        <w:rPr>
          <w:rFonts w:ascii="Arial" w:eastAsia="Times New Roman" w:hAnsi="Arial" w:cs="Arial"/>
          <w:sz w:val="24"/>
          <w:szCs w:val="24"/>
        </w:rPr>
        <w:t xml:space="preserve">febrile patients, we first employed qPCR-based TaqMan assay to examine the </w:t>
      </w:r>
      <w:r w:rsidRPr="00B26315">
        <w:rPr>
          <w:rFonts w:ascii="Arial" w:hAnsi="Arial" w:cs="Arial"/>
          <w:sz w:val="24"/>
          <w:szCs w:val="24"/>
        </w:rPr>
        <w:t>point mutation (</w:t>
      </w:r>
      <w:r w:rsidRPr="00B26315">
        <w:rPr>
          <w:rFonts w:ascii="Arial" w:hAnsi="Arial" w:cs="Arial"/>
          <w:color w:val="000000"/>
          <w:sz w:val="24"/>
          <w:szCs w:val="24"/>
          <w:shd w:val="clear" w:color="auto" w:fill="FFFFFF"/>
        </w:rPr>
        <w:t>c.1-67T&gt;C; rs2814778</w:t>
      </w:r>
      <w:r w:rsidRPr="00B26315">
        <w:rPr>
          <w:rFonts w:ascii="Arial" w:hAnsi="Arial" w:cs="Arial"/>
          <w:sz w:val="24"/>
          <w:szCs w:val="24"/>
        </w:rPr>
        <w:t xml:space="preserve">) in the GATA-1 transcription factor binding site of the </w:t>
      </w:r>
      <w:r w:rsidRPr="00B26315">
        <w:rPr>
          <w:rFonts w:ascii="Arial" w:hAnsi="Arial" w:cs="Arial"/>
          <w:bCs/>
          <w:i/>
          <w:sz w:val="24"/>
          <w:szCs w:val="24"/>
        </w:rPr>
        <w:t>DARC</w:t>
      </w:r>
      <w:r w:rsidRPr="00B26315">
        <w:rPr>
          <w:rFonts w:ascii="Arial" w:hAnsi="Arial" w:cs="Arial"/>
          <w:sz w:val="24"/>
          <w:szCs w:val="24"/>
        </w:rPr>
        <w:t xml:space="preserve"> gene</w:t>
      </w:r>
      <w:r>
        <w:rPr>
          <w:rFonts w:ascii="Arial" w:hAnsi="Arial" w:cs="Arial"/>
          <w:sz w:val="24"/>
          <w:szCs w:val="24"/>
        </w:rPr>
        <w:t>. The following primers (forward: 5’-</w:t>
      </w:r>
      <w:r w:rsidRPr="000648E4">
        <w:rPr>
          <w:rFonts w:ascii="Arial" w:hAnsi="Arial" w:cs="Arial"/>
          <w:sz w:val="24"/>
          <w:szCs w:val="24"/>
        </w:rPr>
        <w:t>GGCCTGAGGCTTGTGCAGGCAG</w:t>
      </w:r>
      <w:r>
        <w:rPr>
          <w:rFonts w:ascii="Arial" w:hAnsi="Arial" w:cs="Arial"/>
          <w:sz w:val="24"/>
          <w:szCs w:val="24"/>
        </w:rPr>
        <w:t>-3’; reverse: 5’-</w:t>
      </w:r>
      <w:r w:rsidRPr="000648E4">
        <w:rPr>
          <w:rFonts w:ascii="Arial" w:hAnsi="Arial" w:cs="Arial"/>
          <w:sz w:val="24"/>
          <w:szCs w:val="24"/>
        </w:rPr>
        <w:t>CATACTCACCCTGTGCAGACAG</w:t>
      </w:r>
      <w:r>
        <w:rPr>
          <w:rFonts w:ascii="Arial" w:hAnsi="Arial" w:cs="Arial"/>
          <w:sz w:val="24"/>
          <w:szCs w:val="24"/>
        </w:rPr>
        <w:t>-3’) and dye-labeled probes (FAM-</w:t>
      </w:r>
      <w:r w:rsidRPr="000648E4">
        <w:rPr>
          <w:rFonts w:ascii="Arial" w:hAnsi="Arial" w:cs="Arial"/>
          <w:sz w:val="24"/>
          <w:szCs w:val="24"/>
        </w:rPr>
        <w:t>CCTTGGCTCTTA</w:t>
      </w:r>
      <w:r>
        <w:rPr>
          <w:rFonts w:ascii="Arial" w:hAnsi="Arial" w:cs="Arial"/>
          <w:sz w:val="24"/>
          <w:szCs w:val="24"/>
        </w:rPr>
        <w:t>[</w:t>
      </w:r>
      <w:r w:rsidRPr="000648E4">
        <w:rPr>
          <w:rFonts w:ascii="Arial" w:hAnsi="Arial" w:cs="Arial"/>
          <w:sz w:val="24"/>
          <w:szCs w:val="24"/>
        </w:rPr>
        <w:t>C</w:t>
      </w:r>
      <w:r>
        <w:rPr>
          <w:rFonts w:ascii="Arial" w:hAnsi="Arial" w:cs="Arial"/>
          <w:sz w:val="24"/>
          <w:szCs w:val="24"/>
        </w:rPr>
        <w:t>]</w:t>
      </w:r>
      <w:r w:rsidRPr="000648E4">
        <w:rPr>
          <w:rFonts w:ascii="Arial" w:hAnsi="Arial" w:cs="Arial"/>
          <w:sz w:val="24"/>
          <w:szCs w:val="24"/>
        </w:rPr>
        <w:t>CTTGGAAGCACAGG</w:t>
      </w:r>
      <w:r>
        <w:rPr>
          <w:rFonts w:ascii="Arial" w:hAnsi="Arial" w:cs="Arial"/>
          <w:sz w:val="24"/>
          <w:szCs w:val="24"/>
        </w:rPr>
        <w:t>-BHQ; HEX-</w:t>
      </w:r>
      <w:r w:rsidRPr="000648E4">
        <w:rPr>
          <w:rFonts w:ascii="Arial" w:hAnsi="Arial" w:cs="Arial"/>
          <w:sz w:val="24"/>
          <w:szCs w:val="24"/>
        </w:rPr>
        <w:t>CCTTGGCTCTTA[T]CTTGGAAGCACAGG</w:t>
      </w:r>
      <w:r>
        <w:rPr>
          <w:rFonts w:ascii="Arial" w:hAnsi="Arial" w:cs="Arial"/>
          <w:sz w:val="24"/>
          <w:szCs w:val="24"/>
        </w:rPr>
        <w:t xml:space="preserve">-BHQ) were used. </w:t>
      </w:r>
      <w:r w:rsidRPr="002F7910">
        <w:rPr>
          <w:rFonts w:ascii="Arial" w:hAnsi="Arial" w:cs="Arial"/>
          <w:sz w:val="24"/>
          <w:szCs w:val="24"/>
        </w:rPr>
        <w:t xml:space="preserve">PCR reaction contained </w:t>
      </w:r>
      <w:r>
        <w:rPr>
          <w:rFonts w:ascii="Arial" w:hAnsi="Arial" w:cs="Arial"/>
          <w:sz w:val="24"/>
          <w:szCs w:val="24"/>
        </w:rPr>
        <w:t>5</w:t>
      </w:r>
      <w:r w:rsidRPr="002F7910">
        <w:rPr>
          <w:rFonts w:ascii="Arial" w:hAnsi="Arial" w:cs="Arial"/>
          <w:sz w:val="24"/>
          <w:szCs w:val="24"/>
        </w:rPr>
        <w:t xml:space="preserve">μl </w:t>
      </w:r>
      <w:r>
        <w:rPr>
          <w:rFonts w:ascii="Arial" w:hAnsi="Arial" w:cs="Arial"/>
          <w:sz w:val="24"/>
          <w:szCs w:val="24"/>
        </w:rPr>
        <w:t>TaqMan Fast Advanced</w:t>
      </w:r>
      <w:r w:rsidRPr="002F7910">
        <w:rPr>
          <w:rFonts w:ascii="Arial" w:hAnsi="Arial" w:cs="Arial"/>
          <w:sz w:val="24"/>
          <w:szCs w:val="24"/>
        </w:rPr>
        <w:t xml:space="preserve"> Master</w:t>
      </w:r>
      <w:r>
        <w:rPr>
          <w:rFonts w:ascii="Arial" w:hAnsi="Arial" w:cs="Arial"/>
          <w:sz w:val="24"/>
          <w:szCs w:val="24"/>
        </w:rPr>
        <w:t xml:space="preserve"> </w:t>
      </w:r>
      <w:r w:rsidRPr="002F7910">
        <w:rPr>
          <w:rFonts w:ascii="Arial" w:hAnsi="Arial" w:cs="Arial"/>
          <w:sz w:val="24"/>
          <w:szCs w:val="24"/>
        </w:rPr>
        <w:t>mix</w:t>
      </w:r>
      <w:r>
        <w:rPr>
          <w:rFonts w:ascii="Arial" w:hAnsi="Arial" w:cs="Arial"/>
          <w:sz w:val="24"/>
          <w:szCs w:val="24"/>
        </w:rPr>
        <w:t xml:space="preserve"> (Thermo)</w:t>
      </w:r>
      <w:r w:rsidRPr="002F7910">
        <w:rPr>
          <w:rFonts w:ascii="Arial" w:hAnsi="Arial" w:cs="Arial"/>
          <w:sz w:val="24"/>
          <w:szCs w:val="24"/>
        </w:rPr>
        <w:t xml:space="preserve">, 1μl DNA template, and 0.5μl </w:t>
      </w:r>
      <w:r>
        <w:rPr>
          <w:rFonts w:ascii="Arial" w:hAnsi="Arial" w:cs="Arial"/>
          <w:sz w:val="24"/>
          <w:szCs w:val="24"/>
        </w:rPr>
        <w:t xml:space="preserve">of </w:t>
      </w:r>
      <w:r w:rsidRPr="002F7910">
        <w:rPr>
          <w:rFonts w:ascii="Arial" w:hAnsi="Arial" w:cs="Arial"/>
          <w:sz w:val="24"/>
          <w:szCs w:val="24"/>
        </w:rPr>
        <w:t>each primer</w:t>
      </w:r>
      <w:r>
        <w:rPr>
          <w:rFonts w:ascii="Arial" w:hAnsi="Arial" w:cs="Arial"/>
          <w:sz w:val="24"/>
          <w:szCs w:val="24"/>
        </w:rPr>
        <w:t xml:space="preserve"> (10nM), </w:t>
      </w:r>
      <w:r w:rsidRPr="002F7910">
        <w:rPr>
          <w:rFonts w:ascii="Arial" w:hAnsi="Arial" w:cs="Arial"/>
          <w:sz w:val="24"/>
          <w:szCs w:val="24"/>
        </w:rPr>
        <w:t xml:space="preserve">and 0.5μl </w:t>
      </w:r>
      <w:r>
        <w:rPr>
          <w:rFonts w:ascii="Arial" w:hAnsi="Arial" w:cs="Arial"/>
          <w:sz w:val="24"/>
          <w:szCs w:val="24"/>
        </w:rPr>
        <w:t xml:space="preserve">of </w:t>
      </w:r>
      <w:r w:rsidRPr="002F7910">
        <w:rPr>
          <w:rFonts w:ascii="Arial" w:hAnsi="Arial" w:cs="Arial"/>
          <w:sz w:val="24"/>
          <w:szCs w:val="24"/>
        </w:rPr>
        <w:t xml:space="preserve">each </w:t>
      </w:r>
      <w:r>
        <w:rPr>
          <w:rFonts w:ascii="Arial" w:hAnsi="Arial" w:cs="Arial"/>
          <w:sz w:val="24"/>
          <w:szCs w:val="24"/>
        </w:rPr>
        <w:t>probe (10nM)</w:t>
      </w:r>
      <w:r w:rsidRPr="002F7910">
        <w:rPr>
          <w:rFonts w:ascii="Arial" w:hAnsi="Arial" w:cs="Arial"/>
          <w:sz w:val="24"/>
          <w:szCs w:val="24"/>
        </w:rPr>
        <w:t xml:space="preserve">. </w:t>
      </w:r>
      <w:r>
        <w:rPr>
          <w:rFonts w:ascii="Arial" w:hAnsi="Arial" w:cs="Arial"/>
          <w:sz w:val="24"/>
          <w:szCs w:val="24"/>
        </w:rPr>
        <w:t xml:space="preserve"> </w:t>
      </w:r>
      <w:r w:rsidRPr="008C29C4">
        <w:rPr>
          <w:rFonts w:ascii="Arial" w:hAnsi="Arial" w:cs="Arial"/>
          <w:sz w:val="24"/>
          <w:szCs w:val="24"/>
        </w:rPr>
        <w:t xml:space="preserve">The reactions were performed with an initial denaturation at 95°C for </w:t>
      </w:r>
      <w:r>
        <w:rPr>
          <w:rFonts w:ascii="Arial" w:hAnsi="Arial" w:cs="Arial"/>
          <w:sz w:val="24"/>
          <w:szCs w:val="24"/>
        </w:rPr>
        <w:t>2</w:t>
      </w:r>
      <w:r w:rsidRPr="008C29C4">
        <w:rPr>
          <w:rFonts w:ascii="Arial" w:hAnsi="Arial" w:cs="Arial"/>
          <w:sz w:val="24"/>
          <w:szCs w:val="24"/>
        </w:rPr>
        <w:t xml:space="preserve"> min, followed by 45 cycles at 9</w:t>
      </w:r>
      <w:r>
        <w:rPr>
          <w:rFonts w:ascii="Arial" w:hAnsi="Arial" w:cs="Arial"/>
          <w:sz w:val="24"/>
          <w:szCs w:val="24"/>
        </w:rPr>
        <w:t>5</w:t>
      </w:r>
      <w:r w:rsidRPr="008C29C4">
        <w:rPr>
          <w:rFonts w:ascii="Arial" w:hAnsi="Arial" w:cs="Arial"/>
          <w:sz w:val="24"/>
          <w:szCs w:val="24"/>
        </w:rPr>
        <w:t xml:space="preserve">°C for </w:t>
      </w:r>
      <w:r>
        <w:rPr>
          <w:rFonts w:ascii="Arial" w:hAnsi="Arial" w:cs="Arial"/>
          <w:sz w:val="24"/>
          <w:szCs w:val="24"/>
        </w:rPr>
        <w:t>3</w:t>
      </w:r>
      <w:r w:rsidRPr="008C29C4">
        <w:rPr>
          <w:rFonts w:ascii="Arial" w:hAnsi="Arial" w:cs="Arial"/>
          <w:sz w:val="24"/>
          <w:szCs w:val="24"/>
        </w:rPr>
        <w:t xml:space="preserve"> </w:t>
      </w:r>
      <w:r>
        <w:rPr>
          <w:rFonts w:ascii="Arial" w:hAnsi="Arial" w:cs="Arial"/>
          <w:sz w:val="24"/>
          <w:szCs w:val="24"/>
        </w:rPr>
        <w:t>sec and</w:t>
      </w:r>
      <w:r w:rsidRPr="008C29C4">
        <w:rPr>
          <w:rFonts w:ascii="Arial" w:hAnsi="Arial" w:cs="Arial"/>
          <w:sz w:val="24"/>
          <w:szCs w:val="24"/>
        </w:rPr>
        <w:t xml:space="preserve"> 5</w:t>
      </w:r>
      <w:r>
        <w:rPr>
          <w:rFonts w:ascii="Arial" w:hAnsi="Arial" w:cs="Arial"/>
          <w:sz w:val="24"/>
          <w:szCs w:val="24"/>
        </w:rPr>
        <w:t>8</w:t>
      </w:r>
      <w:r w:rsidRPr="008C29C4">
        <w:rPr>
          <w:rFonts w:ascii="Arial" w:hAnsi="Arial" w:cs="Arial"/>
          <w:sz w:val="24"/>
          <w:szCs w:val="24"/>
        </w:rPr>
        <w:t xml:space="preserve">°C for 30 sec. </w:t>
      </w:r>
      <w:r>
        <w:rPr>
          <w:rFonts w:ascii="Arial" w:hAnsi="Arial" w:cs="Arial"/>
          <w:sz w:val="24"/>
          <w:szCs w:val="24"/>
        </w:rPr>
        <w:t>A no-template control was used in each assay. T</w:t>
      </w:r>
      <w:r w:rsidRPr="002F7910">
        <w:rPr>
          <w:rFonts w:ascii="Arial" w:hAnsi="Arial" w:cs="Arial"/>
          <w:sz w:val="24"/>
          <w:szCs w:val="24"/>
        </w:rPr>
        <w:t xml:space="preserve">he </w:t>
      </w:r>
      <w:proofErr w:type="spellStart"/>
      <w:r w:rsidRPr="002F7910">
        <w:rPr>
          <w:rFonts w:ascii="Arial" w:hAnsi="Arial" w:cs="Arial"/>
          <w:i/>
          <w:sz w:val="24"/>
          <w:szCs w:val="24"/>
        </w:rPr>
        <w:t>Fy</w:t>
      </w:r>
      <w:proofErr w:type="spellEnd"/>
      <w:r w:rsidRPr="002F7910">
        <w:rPr>
          <w:rFonts w:ascii="Arial" w:hAnsi="Arial" w:cs="Arial"/>
          <w:sz w:val="24"/>
          <w:szCs w:val="24"/>
        </w:rPr>
        <w:t xml:space="preserve"> genotypes</w:t>
      </w:r>
      <w:r>
        <w:rPr>
          <w:rFonts w:ascii="Arial" w:hAnsi="Arial" w:cs="Arial"/>
          <w:sz w:val="24"/>
          <w:szCs w:val="24"/>
        </w:rPr>
        <w:t xml:space="preserve"> were determined by the allelic discrimination plot based on the fluorescent signal emitted from the allele-specific probes. For</w:t>
      </w:r>
      <w:r w:rsidRPr="002F7910">
        <w:rPr>
          <w:rFonts w:ascii="Arial" w:eastAsia="Times New Roman" w:hAnsi="Arial" w:cs="Arial"/>
          <w:i/>
          <w:sz w:val="24"/>
          <w:szCs w:val="24"/>
        </w:rPr>
        <w:t xml:space="preserve"> P. vivax</w:t>
      </w:r>
      <w:r w:rsidRPr="002F7910">
        <w:rPr>
          <w:rFonts w:ascii="Arial" w:eastAsia="Times New Roman" w:hAnsi="Arial" w:cs="Arial"/>
          <w:sz w:val="24"/>
          <w:szCs w:val="24"/>
        </w:rPr>
        <w:t xml:space="preserve"> positive samples, a 1,100-bp fragment of the </w:t>
      </w:r>
      <w:r w:rsidRPr="00994AD7">
        <w:rPr>
          <w:rFonts w:ascii="Arial" w:eastAsia="Times New Roman" w:hAnsi="Arial" w:cs="Arial"/>
          <w:i/>
          <w:iCs/>
          <w:sz w:val="24"/>
          <w:szCs w:val="24"/>
        </w:rPr>
        <w:t>DARC</w:t>
      </w:r>
      <w:r w:rsidRPr="002F7910">
        <w:rPr>
          <w:rStyle w:val="Emphasis"/>
          <w:rFonts w:ascii="Arial" w:eastAsia="Times New Roman" w:hAnsi="Arial" w:cs="Arial"/>
          <w:sz w:val="24"/>
          <w:szCs w:val="24"/>
        </w:rPr>
        <w:t xml:space="preserve"> </w:t>
      </w:r>
      <w:r w:rsidRPr="002F7910">
        <w:rPr>
          <w:rFonts w:ascii="Arial" w:eastAsia="Times New Roman" w:hAnsi="Arial" w:cs="Arial"/>
          <w:sz w:val="24"/>
          <w:szCs w:val="24"/>
        </w:rPr>
        <w:t xml:space="preserve">gene </w:t>
      </w:r>
      <w:r w:rsidRPr="002F7910">
        <w:rPr>
          <w:rFonts w:ascii="Arial" w:hAnsi="Arial" w:cs="Arial"/>
          <w:sz w:val="24"/>
          <w:szCs w:val="24"/>
        </w:rPr>
        <w:t xml:space="preserve">was </w:t>
      </w:r>
      <w:r>
        <w:rPr>
          <w:rFonts w:ascii="Arial" w:hAnsi="Arial" w:cs="Arial"/>
          <w:sz w:val="24"/>
          <w:szCs w:val="24"/>
        </w:rPr>
        <w:t xml:space="preserve">further </w:t>
      </w:r>
      <w:r w:rsidRPr="002F7910">
        <w:rPr>
          <w:rFonts w:ascii="Arial" w:hAnsi="Arial" w:cs="Arial"/>
          <w:sz w:val="24"/>
          <w:szCs w:val="24"/>
        </w:rPr>
        <w:t xml:space="preserve">amplified using </w:t>
      </w:r>
      <w:r>
        <w:rPr>
          <w:rFonts w:ascii="Arial" w:hAnsi="Arial" w:cs="Arial"/>
          <w:sz w:val="24"/>
          <w:szCs w:val="24"/>
        </w:rPr>
        <w:t xml:space="preserve">previously </w:t>
      </w:r>
      <w:r w:rsidRPr="002F7910">
        <w:rPr>
          <w:rFonts w:ascii="Arial" w:hAnsi="Arial" w:cs="Arial"/>
          <w:sz w:val="24"/>
          <w:szCs w:val="24"/>
        </w:rPr>
        <w:t>published primers [</w:t>
      </w:r>
      <w:r w:rsidR="0076554F">
        <w:rPr>
          <w:rFonts w:ascii="Arial" w:hAnsi="Arial" w:cs="Arial"/>
          <w:sz w:val="24"/>
          <w:szCs w:val="24"/>
        </w:rPr>
        <w:t>4</w:t>
      </w:r>
      <w:r w:rsidRPr="002F7910">
        <w:rPr>
          <w:rFonts w:ascii="Arial" w:hAnsi="Arial" w:cs="Arial"/>
          <w:sz w:val="24"/>
          <w:szCs w:val="24"/>
        </w:rPr>
        <w:t xml:space="preserve">]. PCR reaction contained 20μl </w:t>
      </w:r>
      <w:proofErr w:type="spellStart"/>
      <w:r w:rsidRPr="002F7910">
        <w:rPr>
          <w:rFonts w:ascii="Arial" w:hAnsi="Arial" w:cs="Arial"/>
          <w:sz w:val="24"/>
          <w:szCs w:val="24"/>
        </w:rPr>
        <w:t>DreamTaq</w:t>
      </w:r>
      <w:proofErr w:type="spellEnd"/>
      <w:r w:rsidRPr="002F7910">
        <w:rPr>
          <w:rFonts w:ascii="Arial" w:hAnsi="Arial" w:cs="Arial"/>
          <w:sz w:val="24"/>
          <w:szCs w:val="24"/>
        </w:rPr>
        <w:t xml:space="preserve"> PCR </w:t>
      </w:r>
      <w:proofErr w:type="spellStart"/>
      <w:r w:rsidRPr="002F7910">
        <w:rPr>
          <w:rFonts w:ascii="Arial" w:hAnsi="Arial" w:cs="Arial"/>
          <w:sz w:val="24"/>
          <w:szCs w:val="24"/>
        </w:rPr>
        <w:t>Mastermix</w:t>
      </w:r>
      <w:proofErr w:type="spellEnd"/>
      <w:r w:rsidRPr="002F7910">
        <w:rPr>
          <w:rFonts w:ascii="Arial" w:hAnsi="Arial" w:cs="Arial"/>
          <w:sz w:val="24"/>
          <w:szCs w:val="24"/>
        </w:rPr>
        <w:t xml:space="preserve">, 1μl DNA template, and 0.5μl each primer. PCR conditions were 94°C for 2-min, followed by 35 cycles of 94°C for 20s, 58°C for 30s, and 68°C for 60s, followed by a 4-min extension. PCR products were </w:t>
      </w:r>
      <w:r w:rsidRPr="002F7910">
        <w:rPr>
          <w:rFonts w:ascii="Arial" w:hAnsi="Arial" w:cs="Arial"/>
          <w:sz w:val="24"/>
          <w:szCs w:val="24"/>
        </w:rPr>
        <w:lastRenderedPageBreak/>
        <w:t>sequenced</w:t>
      </w:r>
      <w:r>
        <w:rPr>
          <w:rFonts w:ascii="Arial" w:hAnsi="Arial" w:cs="Arial"/>
          <w:sz w:val="24"/>
          <w:szCs w:val="24"/>
        </w:rPr>
        <w:t>,</w:t>
      </w:r>
      <w:r w:rsidRPr="002F7910">
        <w:rPr>
          <w:rFonts w:ascii="Arial" w:hAnsi="Arial" w:cs="Arial"/>
          <w:sz w:val="24"/>
          <w:szCs w:val="24"/>
        </w:rPr>
        <w:t xml:space="preserve"> and the chromatograms were visually inspected to determine </w:t>
      </w:r>
      <w:r>
        <w:rPr>
          <w:rFonts w:ascii="Arial" w:hAnsi="Arial" w:cs="Arial"/>
          <w:sz w:val="24"/>
          <w:szCs w:val="24"/>
        </w:rPr>
        <w:t xml:space="preserve">and confirm </w:t>
      </w:r>
      <w:r w:rsidRPr="002F7910">
        <w:rPr>
          <w:rFonts w:ascii="Arial" w:hAnsi="Arial" w:cs="Arial"/>
          <w:sz w:val="24"/>
          <w:szCs w:val="24"/>
        </w:rPr>
        <w:t xml:space="preserve">the </w:t>
      </w:r>
      <w:proofErr w:type="spellStart"/>
      <w:r w:rsidRPr="002F7910">
        <w:rPr>
          <w:rFonts w:ascii="Arial" w:hAnsi="Arial" w:cs="Arial"/>
          <w:i/>
          <w:sz w:val="24"/>
          <w:szCs w:val="24"/>
        </w:rPr>
        <w:t>Fy</w:t>
      </w:r>
      <w:proofErr w:type="spellEnd"/>
      <w:r w:rsidRPr="002F7910">
        <w:rPr>
          <w:rFonts w:ascii="Arial" w:hAnsi="Arial" w:cs="Arial"/>
          <w:sz w:val="24"/>
          <w:szCs w:val="24"/>
        </w:rPr>
        <w:t xml:space="preserve"> genotypes</w:t>
      </w:r>
      <w:r>
        <w:rPr>
          <w:rFonts w:ascii="Arial" w:hAnsi="Arial" w:cs="Arial"/>
          <w:sz w:val="24"/>
          <w:szCs w:val="24"/>
        </w:rPr>
        <w:t xml:space="preserve"> based on the TaqMan assays</w:t>
      </w:r>
      <w:r w:rsidRPr="002F7910">
        <w:rPr>
          <w:rFonts w:ascii="Arial" w:hAnsi="Arial" w:cs="Arial"/>
          <w:sz w:val="24"/>
          <w:szCs w:val="24"/>
        </w:rPr>
        <w:t xml:space="preserve">. </w:t>
      </w:r>
    </w:p>
    <w:p w14:paraId="090967FC" w14:textId="77777777" w:rsidR="003109E0" w:rsidRDefault="003109E0" w:rsidP="003109E0">
      <w:pPr>
        <w:spacing w:line="480" w:lineRule="auto"/>
        <w:jc w:val="both"/>
        <w:rPr>
          <w:rFonts w:ascii="Arial" w:hAnsi="Arial" w:cs="Arial"/>
          <w:b/>
          <w:bCs/>
          <w:sz w:val="24"/>
          <w:szCs w:val="24"/>
        </w:rPr>
      </w:pPr>
    </w:p>
    <w:p w14:paraId="0C23B187" w14:textId="6706C03A" w:rsidR="003109E0" w:rsidRPr="0068137D" w:rsidRDefault="003109E0" w:rsidP="003109E0">
      <w:pPr>
        <w:spacing w:line="480" w:lineRule="auto"/>
        <w:jc w:val="both"/>
        <w:rPr>
          <w:rFonts w:ascii="Arial" w:hAnsi="Arial" w:cs="Arial"/>
          <w:b/>
          <w:bCs/>
          <w:sz w:val="24"/>
          <w:szCs w:val="24"/>
        </w:rPr>
      </w:pPr>
      <w:r>
        <w:rPr>
          <w:rFonts w:ascii="Arial" w:hAnsi="Arial" w:cs="Arial"/>
          <w:b/>
          <w:bCs/>
          <w:sz w:val="24"/>
          <w:szCs w:val="24"/>
        </w:rPr>
        <w:t>Phylogenetic</w:t>
      </w:r>
      <w:r w:rsidRPr="0068137D">
        <w:rPr>
          <w:rFonts w:ascii="Arial" w:hAnsi="Arial" w:cs="Arial"/>
          <w:b/>
          <w:bCs/>
          <w:sz w:val="24"/>
          <w:szCs w:val="24"/>
        </w:rPr>
        <w:t xml:space="preserve"> analyses</w:t>
      </w:r>
      <w:r>
        <w:rPr>
          <w:rFonts w:ascii="Arial" w:hAnsi="Arial" w:cs="Arial"/>
          <w:b/>
          <w:bCs/>
          <w:sz w:val="24"/>
          <w:szCs w:val="24"/>
        </w:rPr>
        <w:t xml:space="preserve"> of </w:t>
      </w:r>
      <w:r w:rsidRPr="004C31D9">
        <w:rPr>
          <w:rFonts w:ascii="Arial" w:hAnsi="Arial" w:cs="Arial"/>
          <w:b/>
          <w:bCs/>
          <w:i/>
          <w:iCs/>
          <w:sz w:val="24"/>
          <w:szCs w:val="24"/>
        </w:rPr>
        <w:t>P. vivax</w:t>
      </w:r>
      <w:r>
        <w:rPr>
          <w:rFonts w:ascii="Arial" w:hAnsi="Arial" w:cs="Arial"/>
          <w:b/>
          <w:bCs/>
          <w:sz w:val="24"/>
          <w:szCs w:val="24"/>
        </w:rPr>
        <w:t xml:space="preserve"> from Duffy negative and Duffy positive samples</w:t>
      </w:r>
    </w:p>
    <w:p w14:paraId="505E4B54" w14:textId="3A5C2C99" w:rsidR="003109E0" w:rsidRDefault="003109E0" w:rsidP="003109E0">
      <w:pPr>
        <w:spacing w:line="480" w:lineRule="auto"/>
        <w:rPr>
          <w:rFonts w:ascii="Arial" w:hAnsi="Arial" w:cs="Arial"/>
          <w:color w:val="000000"/>
          <w:sz w:val="24"/>
          <w:szCs w:val="24"/>
        </w:rPr>
      </w:pPr>
      <w:r>
        <w:rPr>
          <w:rFonts w:ascii="Arial" w:hAnsi="Arial" w:cs="Arial"/>
          <w:iCs/>
          <w:sz w:val="24"/>
          <w:szCs w:val="24"/>
        </w:rPr>
        <w:t>W</w:t>
      </w:r>
      <w:r w:rsidRPr="00282119">
        <w:rPr>
          <w:rFonts w:ascii="Arial" w:hAnsi="Arial" w:cs="Arial"/>
          <w:iCs/>
          <w:sz w:val="24"/>
          <w:szCs w:val="24"/>
        </w:rPr>
        <w:t>e amplified</w:t>
      </w:r>
      <w:r>
        <w:rPr>
          <w:rFonts w:ascii="Arial" w:hAnsi="Arial" w:cs="Arial"/>
          <w:iCs/>
          <w:sz w:val="24"/>
          <w:szCs w:val="24"/>
        </w:rPr>
        <w:t xml:space="preserve"> and obtained</w:t>
      </w:r>
      <w:r w:rsidRPr="00282119">
        <w:rPr>
          <w:rFonts w:ascii="Arial" w:hAnsi="Arial" w:cs="Arial"/>
          <w:iCs/>
          <w:sz w:val="24"/>
          <w:szCs w:val="24"/>
        </w:rPr>
        <w:t xml:space="preserve"> </w:t>
      </w:r>
      <w:proofErr w:type="spellStart"/>
      <w:r w:rsidRPr="00282119">
        <w:rPr>
          <w:rFonts w:ascii="Arial" w:hAnsi="Arial" w:cs="Arial"/>
          <w:i/>
          <w:sz w:val="24"/>
          <w:szCs w:val="24"/>
        </w:rPr>
        <w:t>PvDBP</w:t>
      </w:r>
      <w:proofErr w:type="spellEnd"/>
      <w:r w:rsidRPr="00282119">
        <w:rPr>
          <w:rFonts w:ascii="Arial" w:hAnsi="Arial" w:cs="Arial"/>
          <w:sz w:val="24"/>
          <w:szCs w:val="24"/>
        </w:rPr>
        <w:t xml:space="preserve"> sequences of </w:t>
      </w:r>
      <w:r>
        <w:rPr>
          <w:rFonts w:ascii="Arial" w:hAnsi="Arial" w:cs="Arial"/>
          <w:sz w:val="24"/>
          <w:szCs w:val="24"/>
        </w:rPr>
        <w:t>4</w:t>
      </w:r>
      <w:r w:rsidRPr="00282119">
        <w:rPr>
          <w:rFonts w:ascii="Arial" w:hAnsi="Arial" w:cs="Arial"/>
          <w:sz w:val="24"/>
          <w:szCs w:val="24"/>
        </w:rPr>
        <w:t xml:space="preserve"> Duffy-positive and </w:t>
      </w:r>
      <w:r>
        <w:rPr>
          <w:rFonts w:ascii="Arial" w:hAnsi="Arial" w:cs="Arial"/>
          <w:sz w:val="24"/>
          <w:szCs w:val="24"/>
        </w:rPr>
        <w:t>4</w:t>
      </w:r>
      <w:r w:rsidRPr="00282119">
        <w:rPr>
          <w:rFonts w:ascii="Arial" w:hAnsi="Arial" w:cs="Arial"/>
          <w:sz w:val="24"/>
          <w:szCs w:val="24"/>
        </w:rPr>
        <w:t xml:space="preserve"> Duffy-negative </w:t>
      </w:r>
      <w:r w:rsidRPr="00282119">
        <w:rPr>
          <w:rFonts w:ascii="Arial" w:hAnsi="Arial" w:cs="Arial"/>
          <w:i/>
          <w:sz w:val="24"/>
          <w:szCs w:val="24"/>
        </w:rPr>
        <w:t>P. vivax</w:t>
      </w:r>
      <w:r w:rsidRPr="00282119">
        <w:rPr>
          <w:rFonts w:ascii="Arial" w:hAnsi="Arial" w:cs="Arial"/>
          <w:sz w:val="24"/>
          <w:szCs w:val="24"/>
        </w:rPr>
        <w:t xml:space="preserve"> samples from</w:t>
      </w:r>
      <w:r>
        <w:rPr>
          <w:rFonts w:ascii="Arial" w:hAnsi="Arial" w:cs="Arial"/>
          <w:sz w:val="24"/>
          <w:szCs w:val="24"/>
        </w:rPr>
        <w:t xml:space="preserve"> Botswana, 107</w:t>
      </w:r>
      <w:r w:rsidRPr="00282119">
        <w:rPr>
          <w:rFonts w:ascii="Arial" w:hAnsi="Arial" w:cs="Arial"/>
          <w:sz w:val="24"/>
          <w:szCs w:val="24"/>
        </w:rPr>
        <w:t xml:space="preserve"> Duffy-positive and </w:t>
      </w:r>
      <w:r>
        <w:rPr>
          <w:rFonts w:ascii="Arial" w:hAnsi="Arial" w:cs="Arial"/>
          <w:sz w:val="24"/>
          <w:szCs w:val="24"/>
        </w:rPr>
        <w:t>9</w:t>
      </w:r>
      <w:r w:rsidRPr="00282119">
        <w:rPr>
          <w:rFonts w:ascii="Arial" w:hAnsi="Arial" w:cs="Arial"/>
          <w:sz w:val="24"/>
          <w:szCs w:val="24"/>
        </w:rPr>
        <w:t xml:space="preserve"> Duffy-negative </w:t>
      </w:r>
      <w:r w:rsidRPr="00282119">
        <w:rPr>
          <w:rFonts w:ascii="Arial" w:hAnsi="Arial" w:cs="Arial"/>
          <w:i/>
          <w:sz w:val="24"/>
          <w:szCs w:val="24"/>
        </w:rPr>
        <w:t>P. vivax</w:t>
      </w:r>
      <w:r w:rsidRPr="00282119">
        <w:rPr>
          <w:rFonts w:ascii="Arial" w:hAnsi="Arial" w:cs="Arial"/>
          <w:sz w:val="24"/>
          <w:szCs w:val="24"/>
        </w:rPr>
        <w:t xml:space="preserve"> samples </w:t>
      </w:r>
      <w:r>
        <w:rPr>
          <w:rFonts w:ascii="Arial" w:hAnsi="Arial" w:cs="Arial"/>
          <w:sz w:val="24"/>
          <w:szCs w:val="24"/>
        </w:rPr>
        <w:t xml:space="preserve">from </w:t>
      </w:r>
      <w:r w:rsidRPr="00282119">
        <w:rPr>
          <w:rFonts w:ascii="Arial" w:hAnsi="Arial" w:cs="Arial"/>
          <w:sz w:val="24"/>
          <w:szCs w:val="24"/>
        </w:rPr>
        <w:t>Ethiopia</w:t>
      </w:r>
      <w:r>
        <w:rPr>
          <w:rFonts w:ascii="Arial" w:hAnsi="Arial" w:cs="Arial"/>
          <w:sz w:val="24"/>
          <w:szCs w:val="24"/>
        </w:rPr>
        <w:t>,</w:t>
      </w:r>
      <w:r w:rsidRPr="00282119">
        <w:rPr>
          <w:rFonts w:ascii="Arial" w:hAnsi="Arial" w:cs="Arial"/>
          <w:sz w:val="24"/>
          <w:szCs w:val="24"/>
        </w:rPr>
        <w:t xml:space="preserve"> </w:t>
      </w:r>
      <w:r>
        <w:rPr>
          <w:rFonts w:ascii="Arial" w:hAnsi="Arial" w:cs="Arial"/>
          <w:sz w:val="24"/>
          <w:szCs w:val="24"/>
        </w:rPr>
        <w:t>and 53</w:t>
      </w:r>
      <w:r w:rsidRPr="00282119">
        <w:rPr>
          <w:rFonts w:ascii="Arial" w:hAnsi="Arial" w:cs="Arial"/>
          <w:sz w:val="24"/>
          <w:szCs w:val="24"/>
        </w:rPr>
        <w:t xml:space="preserve"> Duffy-positive and </w:t>
      </w:r>
      <w:r>
        <w:rPr>
          <w:rFonts w:ascii="Arial" w:hAnsi="Arial" w:cs="Arial"/>
          <w:sz w:val="24"/>
          <w:szCs w:val="24"/>
        </w:rPr>
        <w:t>16</w:t>
      </w:r>
      <w:r w:rsidRPr="00282119">
        <w:rPr>
          <w:rFonts w:ascii="Arial" w:hAnsi="Arial" w:cs="Arial"/>
          <w:sz w:val="24"/>
          <w:szCs w:val="24"/>
        </w:rPr>
        <w:t xml:space="preserve"> Duffy-negative </w:t>
      </w:r>
      <w:r w:rsidRPr="00282119">
        <w:rPr>
          <w:rFonts w:ascii="Arial" w:hAnsi="Arial" w:cs="Arial"/>
          <w:i/>
          <w:sz w:val="24"/>
          <w:szCs w:val="24"/>
        </w:rPr>
        <w:t>P. vivax</w:t>
      </w:r>
      <w:r w:rsidRPr="00282119">
        <w:rPr>
          <w:rFonts w:ascii="Arial" w:hAnsi="Arial" w:cs="Arial"/>
          <w:sz w:val="24"/>
          <w:szCs w:val="24"/>
        </w:rPr>
        <w:t xml:space="preserve"> samples</w:t>
      </w:r>
      <w:r>
        <w:rPr>
          <w:rFonts w:ascii="Arial" w:hAnsi="Arial" w:cs="Arial"/>
          <w:sz w:val="24"/>
          <w:szCs w:val="24"/>
        </w:rPr>
        <w:t xml:space="preserve"> from Sudan. Sequences obtained in the present study were </w:t>
      </w:r>
      <w:r w:rsidRPr="0068137D">
        <w:rPr>
          <w:rFonts w:ascii="Arial" w:hAnsi="Arial" w:cs="Arial"/>
          <w:sz w:val="24"/>
          <w:szCs w:val="24"/>
        </w:rPr>
        <w:t xml:space="preserve">aligned with </w:t>
      </w:r>
      <w:r>
        <w:rPr>
          <w:rFonts w:ascii="Arial" w:hAnsi="Arial" w:cs="Arial"/>
          <w:sz w:val="24"/>
          <w:szCs w:val="24"/>
        </w:rPr>
        <w:t xml:space="preserve">36 </w:t>
      </w:r>
      <w:r w:rsidRPr="0068137D">
        <w:rPr>
          <w:rFonts w:ascii="Arial" w:hAnsi="Arial" w:cs="Arial"/>
          <w:sz w:val="24"/>
          <w:szCs w:val="24"/>
        </w:rPr>
        <w:t xml:space="preserve">previously published </w:t>
      </w:r>
      <w:r w:rsidRPr="00282119">
        <w:rPr>
          <w:rFonts w:ascii="Arial" w:hAnsi="Arial" w:cs="Arial"/>
          <w:i/>
          <w:sz w:val="24"/>
          <w:szCs w:val="24"/>
        </w:rPr>
        <w:t>P. vivax</w:t>
      </w:r>
      <w:r w:rsidRPr="0068137D">
        <w:rPr>
          <w:rFonts w:ascii="Arial" w:hAnsi="Arial" w:cs="Arial"/>
          <w:sz w:val="24"/>
          <w:szCs w:val="24"/>
        </w:rPr>
        <w:t xml:space="preserve"> isolates </w:t>
      </w:r>
      <w:r>
        <w:rPr>
          <w:rFonts w:ascii="Arial" w:hAnsi="Arial" w:cs="Arial"/>
          <w:sz w:val="24"/>
          <w:szCs w:val="24"/>
        </w:rPr>
        <w:t xml:space="preserve">from other parts of Africa including </w:t>
      </w:r>
      <w:r w:rsidRPr="009A058F">
        <w:rPr>
          <w:rFonts w:ascii="Arial" w:hAnsi="Arial" w:cs="Arial"/>
          <w:sz w:val="24"/>
          <w:szCs w:val="24"/>
        </w:rPr>
        <w:t>Uganda</w:t>
      </w:r>
      <w:r>
        <w:rPr>
          <w:rFonts w:ascii="Arial" w:hAnsi="Arial" w:cs="Arial"/>
          <w:sz w:val="24"/>
          <w:szCs w:val="24"/>
        </w:rPr>
        <w:t xml:space="preserve"> (</w:t>
      </w:r>
      <w:r w:rsidRPr="009A058F">
        <w:rPr>
          <w:rFonts w:ascii="Arial" w:hAnsi="Arial" w:cs="Arial"/>
          <w:i/>
          <w:iCs/>
          <w:sz w:val="24"/>
          <w:szCs w:val="24"/>
        </w:rPr>
        <w:t>n</w:t>
      </w:r>
      <w:r w:rsidRPr="009A058F">
        <w:rPr>
          <w:rFonts w:ascii="Arial" w:hAnsi="Arial" w:cs="Arial"/>
          <w:sz w:val="24"/>
          <w:szCs w:val="24"/>
        </w:rPr>
        <w:t>=31</w:t>
      </w:r>
      <w:r>
        <w:rPr>
          <w:rFonts w:ascii="Arial" w:hAnsi="Arial" w:cs="Arial"/>
          <w:sz w:val="24"/>
          <w:szCs w:val="24"/>
        </w:rPr>
        <w:t>)</w:t>
      </w:r>
      <w:r w:rsidRPr="009A058F">
        <w:rPr>
          <w:rFonts w:ascii="Arial" w:hAnsi="Arial" w:cs="Arial"/>
          <w:sz w:val="24"/>
          <w:szCs w:val="24"/>
        </w:rPr>
        <w:t>, Madagascar</w:t>
      </w:r>
      <w:r>
        <w:rPr>
          <w:rFonts w:ascii="Arial" w:hAnsi="Arial" w:cs="Arial"/>
          <w:sz w:val="24"/>
          <w:szCs w:val="24"/>
        </w:rPr>
        <w:t xml:space="preserve"> (</w:t>
      </w:r>
      <w:r w:rsidRPr="009A058F">
        <w:rPr>
          <w:rFonts w:ascii="Arial" w:hAnsi="Arial" w:cs="Arial"/>
          <w:i/>
          <w:iCs/>
          <w:sz w:val="24"/>
          <w:szCs w:val="24"/>
        </w:rPr>
        <w:t>n</w:t>
      </w:r>
      <w:r w:rsidRPr="009A058F">
        <w:rPr>
          <w:rFonts w:ascii="Arial" w:hAnsi="Arial" w:cs="Arial"/>
          <w:sz w:val="24"/>
          <w:szCs w:val="24"/>
        </w:rPr>
        <w:t>=4</w:t>
      </w:r>
      <w:r>
        <w:rPr>
          <w:rFonts w:ascii="Arial" w:hAnsi="Arial" w:cs="Arial"/>
          <w:sz w:val="24"/>
          <w:szCs w:val="24"/>
        </w:rPr>
        <w:t>)</w:t>
      </w:r>
      <w:r w:rsidRPr="009A058F">
        <w:rPr>
          <w:rFonts w:ascii="Arial" w:hAnsi="Arial" w:cs="Arial"/>
          <w:sz w:val="24"/>
          <w:szCs w:val="24"/>
        </w:rPr>
        <w:t>, and Mauritania</w:t>
      </w:r>
      <w:r>
        <w:rPr>
          <w:rFonts w:ascii="Arial" w:hAnsi="Arial" w:cs="Arial"/>
          <w:sz w:val="24"/>
          <w:szCs w:val="24"/>
        </w:rPr>
        <w:t xml:space="preserve"> (</w:t>
      </w:r>
      <w:r w:rsidRPr="009A058F">
        <w:rPr>
          <w:rFonts w:ascii="Arial" w:hAnsi="Arial" w:cs="Arial"/>
          <w:i/>
          <w:iCs/>
          <w:sz w:val="24"/>
          <w:szCs w:val="24"/>
        </w:rPr>
        <w:t>n</w:t>
      </w:r>
      <w:r w:rsidRPr="009A058F">
        <w:rPr>
          <w:rFonts w:ascii="Arial" w:hAnsi="Arial" w:cs="Arial"/>
          <w:sz w:val="24"/>
          <w:szCs w:val="24"/>
        </w:rPr>
        <w:t>=1</w:t>
      </w:r>
      <w:r w:rsidRPr="00D1415D">
        <w:rPr>
          <w:rFonts w:ascii="Arial" w:hAnsi="Arial" w:cs="Arial"/>
          <w:sz w:val="24"/>
          <w:szCs w:val="24"/>
        </w:rPr>
        <w:t>;</w:t>
      </w:r>
      <w:r>
        <w:rPr>
          <w:rFonts w:ascii="Arial" w:hAnsi="Arial" w:cs="Arial"/>
          <w:sz w:val="24"/>
          <w:szCs w:val="24"/>
        </w:rPr>
        <w:t xml:space="preserve"> </w:t>
      </w:r>
      <w:r w:rsidRPr="004A662A">
        <w:rPr>
          <w:rFonts w:ascii="Arial" w:hAnsi="Arial" w:cs="Arial"/>
          <w:b/>
          <w:bCs/>
          <w:sz w:val="24"/>
          <w:szCs w:val="24"/>
        </w:rPr>
        <w:t>Supplementary Table 1</w:t>
      </w:r>
      <w:r>
        <w:rPr>
          <w:rFonts w:ascii="Arial" w:hAnsi="Arial" w:cs="Arial"/>
          <w:sz w:val="24"/>
          <w:szCs w:val="24"/>
        </w:rPr>
        <w:t xml:space="preserve">). Duffy status of these published sequences are unknown. The DBP sequence of </w:t>
      </w:r>
      <w:r w:rsidRPr="0068137D">
        <w:rPr>
          <w:rFonts w:ascii="Arial" w:hAnsi="Arial" w:cs="Arial"/>
          <w:sz w:val="24"/>
          <w:szCs w:val="24"/>
        </w:rPr>
        <w:t xml:space="preserve">Sal-1 </w:t>
      </w:r>
      <w:r>
        <w:rPr>
          <w:rFonts w:ascii="Arial" w:hAnsi="Arial" w:cs="Arial"/>
          <w:sz w:val="24"/>
          <w:szCs w:val="24"/>
        </w:rPr>
        <w:t xml:space="preserve">(NC_009911.1) and EBP sequence of </w:t>
      </w:r>
      <w:r w:rsidRPr="000B6248">
        <w:rPr>
          <w:rFonts w:ascii="Arial" w:hAnsi="Arial" w:cs="Arial"/>
          <w:i/>
          <w:iCs/>
          <w:sz w:val="24"/>
          <w:szCs w:val="24"/>
        </w:rPr>
        <w:t xml:space="preserve">P. </w:t>
      </w:r>
      <w:proofErr w:type="spellStart"/>
      <w:r w:rsidRPr="000B6248">
        <w:rPr>
          <w:rFonts w:ascii="Arial" w:hAnsi="Arial" w:cs="Arial"/>
          <w:i/>
          <w:iCs/>
          <w:sz w:val="24"/>
          <w:szCs w:val="24"/>
        </w:rPr>
        <w:t>cynomolgi</w:t>
      </w:r>
      <w:proofErr w:type="spellEnd"/>
      <w:r>
        <w:rPr>
          <w:rFonts w:ascii="Arial" w:hAnsi="Arial" w:cs="Arial"/>
          <w:sz w:val="24"/>
          <w:szCs w:val="24"/>
        </w:rPr>
        <w:t xml:space="preserve"> (Y11396.1) were used as outgroups. Alignment was performed with</w:t>
      </w:r>
      <w:r w:rsidRPr="0068137D">
        <w:rPr>
          <w:rFonts w:ascii="Arial" w:hAnsi="Arial" w:cs="Arial"/>
          <w:sz w:val="24"/>
          <w:szCs w:val="24"/>
        </w:rPr>
        <w:t xml:space="preserve"> MUSCLE based on </w:t>
      </w:r>
      <w:r w:rsidRPr="0068137D">
        <w:rPr>
          <w:rFonts w:ascii="Arial" w:hAnsi="Arial" w:cs="Arial"/>
          <w:color w:val="000000"/>
          <w:sz w:val="24"/>
          <w:szCs w:val="24"/>
        </w:rPr>
        <w:t xml:space="preserve">default settings </w:t>
      </w:r>
      <w:r w:rsidRPr="0068137D">
        <w:rPr>
          <w:rFonts w:ascii="Arial" w:hAnsi="Arial" w:cs="Arial"/>
          <w:sz w:val="24"/>
          <w:szCs w:val="24"/>
        </w:rPr>
        <w:t>[</w:t>
      </w:r>
      <w:r w:rsidR="00CE31F5">
        <w:rPr>
          <w:rFonts w:ascii="Arial" w:hAnsi="Arial" w:cs="Arial"/>
          <w:sz w:val="24"/>
          <w:szCs w:val="24"/>
        </w:rPr>
        <w:t>5</w:t>
      </w:r>
      <w:r w:rsidRPr="0068137D">
        <w:rPr>
          <w:rFonts w:ascii="Arial" w:hAnsi="Arial" w:cs="Arial"/>
          <w:sz w:val="24"/>
          <w:szCs w:val="24"/>
        </w:rPr>
        <w:t xml:space="preserve">] </w:t>
      </w:r>
      <w:r>
        <w:rPr>
          <w:rFonts w:ascii="Arial" w:hAnsi="Arial" w:cs="Arial"/>
          <w:color w:val="000000"/>
          <w:sz w:val="24"/>
          <w:szCs w:val="24"/>
        </w:rPr>
        <w:t>and</w:t>
      </w:r>
      <w:r w:rsidRPr="0068137D">
        <w:rPr>
          <w:rFonts w:ascii="Arial" w:hAnsi="Arial" w:cs="Arial"/>
          <w:color w:val="000000"/>
          <w:sz w:val="24"/>
          <w:szCs w:val="24"/>
        </w:rPr>
        <w:t xml:space="preserve"> manually edited in </w:t>
      </w:r>
      <w:proofErr w:type="spellStart"/>
      <w:r>
        <w:rPr>
          <w:rFonts w:ascii="Arial" w:hAnsi="Arial" w:cs="Arial"/>
          <w:color w:val="000000"/>
          <w:sz w:val="24"/>
          <w:szCs w:val="24"/>
        </w:rPr>
        <w:t>Bio</w:t>
      </w:r>
      <w:r w:rsidRPr="0068137D">
        <w:rPr>
          <w:rFonts w:ascii="Arial" w:hAnsi="Arial" w:cs="Arial"/>
          <w:color w:val="000000"/>
          <w:sz w:val="24"/>
          <w:szCs w:val="24"/>
        </w:rPr>
        <w:t>Edit</w:t>
      </w:r>
      <w:proofErr w:type="spellEnd"/>
      <w:r w:rsidRPr="0068137D">
        <w:rPr>
          <w:rFonts w:ascii="Arial" w:hAnsi="Arial" w:cs="Arial"/>
          <w:color w:val="000000"/>
          <w:sz w:val="24"/>
          <w:szCs w:val="24"/>
        </w:rPr>
        <w:t xml:space="preserve"> v</w:t>
      </w:r>
      <w:r>
        <w:rPr>
          <w:rFonts w:ascii="Arial" w:hAnsi="Arial" w:cs="Arial"/>
          <w:color w:val="000000"/>
          <w:sz w:val="24"/>
          <w:szCs w:val="24"/>
        </w:rPr>
        <w:t>7.2.5</w:t>
      </w:r>
      <w:r w:rsidRPr="0068137D">
        <w:rPr>
          <w:rFonts w:ascii="Arial" w:hAnsi="Arial" w:cs="Arial"/>
          <w:color w:val="000000"/>
          <w:sz w:val="24"/>
          <w:szCs w:val="24"/>
        </w:rPr>
        <w:t xml:space="preserve"> [</w:t>
      </w:r>
      <w:r w:rsidR="00CE31F5">
        <w:rPr>
          <w:rFonts w:ascii="Arial" w:hAnsi="Arial" w:cs="Arial"/>
          <w:sz w:val="24"/>
          <w:szCs w:val="24"/>
        </w:rPr>
        <w:t>6</w:t>
      </w:r>
      <w:r w:rsidRPr="0068137D">
        <w:rPr>
          <w:rFonts w:ascii="Arial" w:hAnsi="Arial" w:cs="Arial"/>
          <w:color w:val="000000"/>
          <w:sz w:val="24"/>
          <w:szCs w:val="24"/>
        </w:rPr>
        <w:t xml:space="preserve">]. </w:t>
      </w:r>
      <w:r>
        <w:rPr>
          <w:rFonts w:ascii="Arial" w:hAnsi="Arial" w:cs="Arial"/>
          <w:color w:val="000000"/>
          <w:sz w:val="24"/>
          <w:szCs w:val="24"/>
        </w:rPr>
        <w:t>P</w:t>
      </w:r>
      <w:r w:rsidRPr="0068137D">
        <w:rPr>
          <w:rFonts w:ascii="Arial" w:hAnsi="Arial" w:cs="Arial"/>
          <w:color w:val="000000"/>
          <w:sz w:val="24"/>
          <w:szCs w:val="24"/>
        </w:rPr>
        <w:t>hylogenetic tree</w:t>
      </w:r>
      <w:r>
        <w:rPr>
          <w:rFonts w:ascii="Arial" w:hAnsi="Arial" w:cs="Arial"/>
          <w:color w:val="000000"/>
          <w:sz w:val="24"/>
          <w:szCs w:val="24"/>
        </w:rPr>
        <w:t>s</w:t>
      </w:r>
      <w:r w:rsidRPr="0068137D">
        <w:rPr>
          <w:rFonts w:ascii="Arial" w:hAnsi="Arial" w:cs="Arial"/>
          <w:color w:val="000000"/>
          <w:sz w:val="24"/>
          <w:szCs w:val="24"/>
        </w:rPr>
        <w:t xml:space="preserve"> w</w:t>
      </w:r>
      <w:r>
        <w:rPr>
          <w:rFonts w:ascii="Arial" w:hAnsi="Arial" w:cs="Arial"/>
          <w:color w:val="000000"/>
          <w:sz w:val="24"/>
          <w:szCs w:val="24"/>
        </w:rPr>
        <w:t>ere</w:t>
      </w:r>
      <w:r w:rsidRPr="0068137D">
        <w:rPr>
          <w:rFonts w:ascii="Arial" w:hAnsi="Arial" w:cs="Arial"/>
          <w:color w:val="000000"/>
          <w:sz w:val="24"/>
          <w:szCs w:val="24"/>
        </w:rPr>
        <w:t xml:space="preserve"> reconstructed using the maximum likelihood method implemented in </w:t>
      </w:r>
      <w:proofErr w:type="spellStart"/>
      <w:r w:rsidRPr="0068137D">
        <w:rPr>
          <w:rFonts w:ascii="Arial" w:hAnsi="Arial" w:cs="Arial"/>
          <w:color w:val="000000"/>
          <w:sz w:val="24"/>
          <w:szCs w:val="24"/>
        </w:rPr>
        <w:t>RAxML</w:t>
      </w:r>
      <w:proofErr w:type="spellEnd"/>
      <w:r>
        <w:rPr>
          <w:rFonts w:ascii="Arial" w:hAnsi="Arial" w:cs="Arial"/>
          <w:color w:val="000000"/>
          <w:sz w:val="24"/>
          <w:szCs w:val="24"/>
        </w:rPr>
        <w:t xml:space="preserve"> v8.0</w:t>
      </w:r>
      <w:r w:rsidRPr="0068137D">
        <w:rPr>
          <w:rFonts w:ascii="Arial" w:hAnsi="Arial" w:cs="Arial"/>
          <w:color w:val="000000"/>
          <w:sz w:val="24"/>
          <w:szCs w:val="24"/>
        </w:rPr>
        <w:t xml:space="preserve"> [</w:t>
      </w:r>
      <w:r w:rsidR="00CE31F5">
        <w:rPr>
          <w:rFonts w:ascii="Arial" w:hAnsi="Arial" w:cs="Arial"/>
          <w:sz w:val="24"/>
          <w:szCs w:val="24"/>
        </w:rPr>
        <w:t>7</w:t>
      </w:r>
      <w:r w:rsidRPr="0068137D">
        <w:rPr>
          <w:rFonts w:ascii="Arial" w:hAnsi="Arial" w:cs="Arial"/>
          <w:sz w:val="24"/>
          <w:szCs w:val="24"/>
        </w:rPr>
        <w:t>]</w:t>
      </w:r>
      <w:r w:rsidRPr="0068137D">
        <w:rPr>
          <w:rFonts w:ascii="Arial" w:hAnsi="Arial" w:cs="Arial"/>
          <w:color w:val="000000"/>
          <w:sz w:val="24"/>
          <w:szCs w:val="24"/>
        </w:rPr>
        <w:t xml:space="preserve"> with 500 bootstrap replicates to assess clade support.</w:t>
      </w:r>
      <w:r>
        <w:rPr>
          <w:rFonts w:ascii="Arial" w:hAnsi="Arial" w:cs="Arial"/>
          <w:color w:val="000000"/>
          <w:sz w:val="24"/>
          <w:szCs w:val="24"/>
        </w:rPr>
        <w:t xml:space="preserve"> We further examined the nucleotide and haplotype diversity of </w:t>
      </w:r>
      <w:proofErr w:type="spellStart"/>
      <w:r w:rsidRPr="00282119">
        <w:rPr>
          <w:rFonts w:ascii="Arial" w:hAnsi="Arial" w:cs="Arial"/>
          <w:i/>
          <w:sz w:val="24"/>
          <w:szCs w:val="24"/>
        </w:rPr>
        <w:t>PvDBP</w:t>
      </w:r>
      <w:proofErr w:type="spellEnd"/>
      <w:r w:rsidRPr="00282119">
        <w:rPr>
          <w:rFonts w:ascii="Arial" w:hAnsi="Arial" w:cs="Arial"/>
          <w:sz w:val="24"/>
          <w:szCs w:val="24"/>
        </w:rPr>
        <w:t xml:space="preserve"> sequences</w:t>
      </w:r>
      <w:r>
        <w:rPr>
          <w:rFonts w:ascii="Arial" w:hAnsi="Arial" w:cs="Arial"/>
          <w:sz w:val="24"/>
          <w:szCs w:val="24"/>
        </w:rPr>
        <w:t xml:space="preserve"> in </w:t>
      </w:r>
      <w:r w:rsidRPr="00282119">
        <w:rPr>
          <w:rFonts w:ascii="Arial" w:hAnsi="Arial" w:cs="Arial"/>
          <w:sz w:val="24"/>
          <w:szCs w:val="24"/>
        </w:rPr>
        <w:t>Duffy-negative</w:t>
      </w:r>
      <w:r w:rsidRPr="00B45E5C">
        <w:rPr>
          <w:rFonts w:ascii="Arial" w:hAnsi="Arial" w:cs="Arial"/>
          <w:sz w:val="24"/>
          <w:szCs w:val="24"/>
        </w:rPr>
        <w:t xml:space="preserve"> </w:t>
      </w:r>
      <w:r>
        <w:rPr>
          <w:rFonts w:ascii="Arial" w:hAnsi="Arial" w:cs="Arial"/>
          <w:sz w:val="24"/>
          <w:szCs w:val="24"/>
        </w:rPr>
        <w:t xml:space="preserve">and </w:t>
      </w:r>
      <w:r w:rsidRPr="00282119">
        <w:rPr>
          <w:rFonts w:ascii="Arial" w:hAnsi="Arial" w:cs="Arial"/>
          <w:sz w:val="24"/>
          <w:szCs w:val="24"/>
        </w:rPr>
        <w:t xml:space="preserve">Duffy-positive </w:t>
      </w:r>
      <w:r>
        <w:rPr>
          <w:rFonts w:ascii="Arial" w:hAnsi="Arial" w:cs="Arial"/>
          <w:sz w:val="24"/>
          <w:szCs w:val="24"/>
        </w:rPr>
        <w:t xml:space="preserve">samples from different African countries using </w:t>
      </w:r>
      <w:proofErr w:type="spellStart"/>
      <w:r>
        <w:rPr>
          <w:rFonts w:ascii="Arial" w:hAnsi="Arial" w:cs="Arial"/>
          <w:sz w:val="24"/>
          <w:szCs w:val="24"/>
        </w:rPr>
        <w:t>DnaSP</w:t>
      </w:r>
      <w:proofErr w:type="spellEnd"/>
      <w:r>
        <w:rPr>
          <w:rFonts w:ascii="Arial" w:hAnsi="Arial" w:cs="Arial"/>
          <w:sz w:val="24"/>
          <w:szCs w:val="24"/>
        </w:rPr>
        <w:t xml:space="preserve"> version 6.12.03 [</w:t>
      </w:r>
      <w:r w:rsidR="00CE31F5">
        <w:rPr>
          <w:rFonts w:ascii="Arial" w:hAnsi="Arial" w:cs="Arial"/>
          <w:sz w:val="24"/>
          <w:szCs w:val="24"/>
        </w:rPr>
        <w:t>8</w:t>
      </w:r>
      <w:r>
        <w:rPr>
          <w:rFonts w:ascii="Arial" w:hAnsi="Arial" w:cs="Arial"/>
          <w:sz w:val="24"/>
          <w:szCs w:val="24"/>
        </w:rPr>
        <w:t>].</w:t>
      </w:r>
    </w:p>
    <w:p w14:paraId="4C7CB3B3" w14:textId="4198D1AB" w:rsidR="003109E0" w:rsidRDefault="003109E0" w:rsidP="003109E0">
      <w:pPr>
        <w:spacing w:line="480" w:lineRule="auto"/>
        <w:jc w:val="both"/>
        <w:rPr>
          <w:rFonts w:ascii="Arial" w:hAnsi="Arial" w:cs="Arial"/>
          <w:sz w:val="24"/>
          <w:szCs w:val="24"/>
        </w:rPr>
      </w:pPr>
    </w:p>
    <w:p w14:paraId="1EB0750D" w14:textId="2B23EBB4" w:rsidR="00DA3BB0" w:rsidRPr="00DA3BB0" w:rsidRDefault="00DA3BB0" w:rsidP="003109E0">
      <w:pPr>
        <w:spacing w:line="480" w:lineRule="auto"/>
        <w:jc w:val="both"/>
        <w:rPr>
          <w:rFonts w:ascii="Arial" w:hAnsi="Arial" w:cs="Arial"/>
          <w:b/>
          <w:bCs/>
          <w:sz w:val="24"/>
          <w:szCs w:val="24"/>
        </w:rPr>
      </w:pPr>
      <w:r w:rsidRPr="00DA3BB0">
        <w:rPr>
          <w:rFonts w:ascii="Arial" w:hAnsi="Arial" w:cs="Arial"/>
          <w:b/>
          <w:bCs/>
          <w:sz w:val="24"/>
          <w:szCs w:val="24"/>
        </w:rPr>
        <w:t>References</w:t>
      </w:r>
    </w:p>
    <w:p w14:paraId="1C163288" w14:textId="486ACACC" w:rsidR="00DA3BB0" w:rsidRDefault="00DA3BB0" w:rsidP="00DA3BB0">
      <w:pPr>
        <w:pStyle w:val="ListParagraph"/>
        <w:numPr>
          <w:ilvl w:val="0"/>
          <w:numId w:val="1"/>
        </w:numPr>
        <w:spacing w:line="480" w:lineRule="auto"/>
        <w:jc w:val="both"/>
        <w:rPr>
          <w:rFonts w:ascii="Arial" w:hAnsi="Arial" w:cs="Arial"/>
          <w:sz w:val="24"/>
          <w:szCs w:val="24"/>
        </w:rPr>
      </w:pPr>
      <w:proofErr w:type="spellStart"/>
      <w:r w:rsidRPr="00DA3BB0">
        <w:rPr>
          <w:rFonts w:ascii="Arial" w:hAnsi="Arial" w:cs="Arial"/>
          <w:sz w:val="24"/>
          <w:szCs w:val="24"/>
        </w:rPr>
        <w:lastRenderedPageBreak/>
        <w:t>Bereczky</w:t>
      </w:r>
      <w:proofErr w:type="spellEnd"/>
      <w:r w:rsidRPr="00DA3BB0">
        <w:rPr>
          <w:rFonts w:ascii="Arial" w:hAnsi="Arial" w:cs="Arial"/>
          <w:sz w:val="24"/>
          <w:szCs w:val="24"/>
        </w:rPr>
        <w:t xml:space="preserve"> S, </w:t>
      </w:r>
      <w:proofErr w:type="spellStart"/>
      <w:r w:rsidRPr="00DA3BB0">
        <w:rPr>
          <w:rFonts w:ascii="Arial" w:hAnsi="Arial" w:cs="Arial"/>
          <w:sz w:val="24"/>
          <w:szCs w:val="24"/>
        </w:rPr>
        <w:t>Martensson</w:t>
      </w:r>
      <w:proofErr w:type="spellEnd"/>
      <w:r w:rsidRPr="00DA3BB0">
        <w:rPr>
          <w:rFonts w:ascii="Arial" w:hAnsi="Arial" w:cs="Arial"/>
          <w:sz w:val="24"/>
          <w:szCs w:val="24"/>
        </w:rPr>
        <w:t xml:space="preserve"> A, Gil JP, </w:t>
      </w:r>
      <w:proofErr w:type="spellStart"/>
      <w:r w:rsidRPr="00DA3BB0">
        <w:rPr>
          <w:rFonts w:ascii="Arial" w:hAnsi="Arial" w:cs="Arial"/>
          <w:sz w:val="24"/>
          <w:szCs w:val="24"/>
        </w:rPr>
        <w:t>Farnert</w:t>
      </w:r>
      <w:proofErr w:type="spellEnd"/>
      <w:r w:rsidRPr="00DA3BB0">
        <w:rPr>
          <w:rFonts w:ascii="Arial" w:hAnsi="Arial" w:cs="Arial"/>
          <w:sz w:val="24"/>
          <w:szCs w:val="24"/>
        </w:rPr>
        <w:t xml:space="preserve"> A. Short report: Rapid DNA extraction from archive blood spots on filter paper for genotyping of Plasmodium falciparum. Am J Trop Med </w:t>
      </w:r>
      <w:proofErr w:type="spellStart"/>
      <w:r w:rsidRPr="00DA3BB0">
        <w:rPr>
          <w:rFonts w:ascii="Arial" w:hAnsi="Arial" w:cs="Arial"/>
          <w:sz w:val="24"/>
          <w:szCs w:val="24"/>
        </w:rPr>
        <w:t>Hyg</w:t>
      </w:r>
      <w:proofErr w:type="spellEnd"/>
      <w:r w:rsidRPr="00DA3BB0">
        <w:rPr>
          <w:rFonts w:ascii="Arial" w:hAnsi="Arial" w:cs="Arial"/>
          <w:sz w:val="24"/>
          <w:szCs w:val="24"/>
        </w:rPr>
        <w:t xml:space="preserve">. </w:t>
      </w:r>
      <w:proofErr w:type="gramStart"/>
      <w:r w:rsidRPr="00DA3BB0">
        <w:rPr>
          <w:rFonts w:ascii="Arial" w:hAnsi="Arial" w:cs="Arial"/>
          <w:sz w:val="24"/>
          <w:szCs w:val="24"/>
        </w:rPr>
        <w:t>2005;72:249</w:t>
      </w:r>
      <w:proofErr w:type="gramEnd"/>
      <w:r w:rsidRPr="00DA3BB0">
        <w:rPr>
          <w:rFonts w:ascii="Arial" w:hAnsi="Arial" w:cs="Arial"/>
          <w:sz w:val="24"/>
          <w:szCs w:val="24"/>
        </w:rPr>
        <w:t>–51.</w:t>
      </w:r>
    </w:p>
    <w:p w14:paraId="544C9B07" w14:textId="77777777" w:rsidR="00A5609E" w:rsidRPr="00A5609E" w:rsidRDefault="00A5609E" w:rsidP="00A5609E">
      <w:pPr>
        <w:pStyle w:val="ListParagraph"/>
        <w:numPr>
          <w:ilvl w:val="0"/>
          <w:numId w:val="1"/>
        </w:numPr>
        <w:spacing w:line="480" w:lineRule="auto"/>
        <w:rPr>
          <w:rFonts w:ascii="Arial" w:hAnsi="Arial" w:cs="Arial"/>
          <w:bCs/>
          <w:color w:val="000000" w:themeColor="text1"/>
          <w:sz w:val="24"/>
          <w:szCs w:val="24"/>
        </w:rPr>
      </w:pPr>
      <w:r w:rsidRPr="00A5609E">
        <w:rPr>
          <w:rFonts w:ascii="Arial" w:hAnsi="Arial" w:cs="Arial"/>
          <w:bCs/>
          <w:noProof/>
          <w:color w:val="000000" w:themeColor="text1"/>
          <w:sz w:val="24"/>
          <w:szCs w:val="24"/>
          <w:lang w:val="it-IT"/>
        </w:rPr>
        <w:t xml:space="preserve">Perandin F, Manca N, Calderaro A, Piccolo G, Galati L, Medici MC, et al. </w:t>
      </w:r>
      <w:r w:rsidRPr="00A5609E">
        <w:rPr>
          <w:rFonts w:ascii="Arial" w:hAnsi="Arial" w:cs="Arial"/>
          <w:bCs/>
          <w:noProof/>
          <w:color w:val="000000" w:themeColor="text1"/>
          <w:sz w:val="24"/>
          <w:szCs w:val="24"/>
        </w:rPr>
        <w:t xml:space="preserve">Development of a real-time PCR assay for detection of </w:t>
      </w:r>
      <w:r w:rsidRPr="00A5609E">
        <w:rPr>
          <w:rFonts w:ascii="Arial" w:hAnsi="Arial" w:cs="Arial"/>
          <w:bCs/>
          <w:i/>
          <w:noProof/>
          <w:color w:val="000000" w:themeColor="text1"/>
          <w:sz w:val="24"/>
          <w:szCs w:val="24"/>
        </w:rPr>
        <w:t>Plasmodium falciparum</w:t>
      </w:r>
      <w:r w:rsidRPr="00A5609E">
        <w:rPr>
          <w:rFonts w:ascii="Arial" w:hAnsi="Arial" w:cs="Arial"/>
          <w:bCs/>
          <w:noProof/>
          <w:color w:val="000000" w:themeColor="text1"/>
          <w:sz w:val="24"/>
          <w:szCs w:val="24"/>
        </w:rPr>
        <w:t xml:space="preserve">, </w:t>
      </w:r>
      <w:r w:rsidRPr="00A5609E">
        <w:rPr>
          <w:rFonts w:ascii="Arial" w:hAnsi="Arial" w:cs="Arial"/>
          <w:bCs/>
          <w:i/>
          <w:noProof/>
          <w:color w:val="000000" w:themeColor="text1"/>
          <w:sz w:val="24"/>
          <w:szCs w:val="24"/>
        </w:rPr>
        <w:t>Plasmodium vivax</w:t>
      </w:r>
      <w:r w:rsidRPr="00A5609E">
        <w:rPr>
          <w:rFonts w:ascii="Arial" w:hAnsi="Arial" w:cs="Arial"/>
          <w:bCs/>
          <w:noProof/>
          <w:color w:val="000000" w:themeColor="text1"/>
          <w:sz w:val="24"/>
          <w:szCs w:val="24"/>
        </w:rPr>
        <w:t xml:space="preserve">, and </w:t>
      </w:r>
      <w:r w:rsidRPr="00A5609E">
        <w:rPr>
          <w:rFonts w:ascii="Arial" w:hAnsi="Arial" w:cs="Arial"/>
          <w:bCs/>
          <w:i/>
          <w:noProof/>
          <w:color w:val="000000" w:themeColor="text1"/>
          <w:sz w:val="24"/>
          <w:szCs w:val="24"/>
        </w:rPr>
        <w:t>Plasmodium ovale</w:t>
      </w:r>
      <w:r w:rsidRPr="00A5609E">
        <w:rPr>
          <w:rFonts w:ascii="Arial" w:hAnsi="Arial" w:cs="Arial"/>
          <w:bCs/>
          <w:noProof/>
          <w:color w:val="000000" w:themeColor="text1"/>
          <w:sz w:val="24"/>
          <w:szCs w:val="24"/>
        </w:rPr>
        <w:t xml:space="preserve"> for routine clinical diagnosis. </w:t>
      </w:r>
      <w:r w:rsidRPr="00A5609E">
        <w:rPr>
          <w:rFonts w:ascii="Arial" w:hAnsi="Arial" w:cs="Arial"/>
          <w:bCs/>
          <w:i/>
          <w:noProof/>
          <w:color w:val="000000" w:themeColor="text1"/>
          <w:sz w:val="24"/>
          <w:szCs w:val="24"/>
        </w:rPr>
        <w:t>J Clin Microbiol</w:t>
      </w:r>
      <w:r w:rsidRPr="00A5609E">
        <w:rPr>
          <w:rFonts w:ascii="Arial" w:hAnsi="Arial" w:cs="Arial"/>
          <w:bCs/>
          <w:noProof/>
          <w:color w:val="000000" w:themeColor="text1"/>
          <w:sz w:val="24"/>
          <w:szCs w:val="24"/>
        </w:rPr>
        <w:t xml:space="preserve"> 2004;42:1214-1219. </w:t>
      </w:r>
    </w:p>
    <w:p w14:paraId="19E436CF" w14:textId="77777777" w:rsidR="00A5609E" w:rsidRPr="00A5609E" w:rsidRDefault="00A5609E" w:rsidP="00A5609E">
      <w:pPr>
        <w:pStyle w:val="ListParagraph"/>
        <w:numPr>
          <w:ilvl w:val="0"/>
          <w:numId w:val="1"/>
        </w:numPr>
        <w:spacing w:after="0" w:line="480" w:lineRule="auto"/>
        <w:rPr>
          <w:rFonts w:ascii="Arial" w:hAnsi="Arial" w:cs="Arial"/>
          <w:bCs/>
          <w:i/>
          <w:color w:val="000000" w:themeColor="text1"/>
          <w:sz w:val="24"/>
          <w:szCs w:val="24"/>
          <w:lang w:val="en-CA"/>
        </w:rPr>
      </w:pPr>
      <w:r w:rsidRPr="00A5609E">
        <w:rPr>
          <w:rFonts w:ascii="Arial" w:hAnsi="Arial" w:cs="Arial"/>
          <w:bCs/>
          <w:color w:val="000000" w:themeColor="text1"/>
          <w:sz w:val="24"/>
          <w:szCs w:val="24"/>
          <w:lang w:val="en-CA"/>
        </w:rPr>
        <w:t xml:space="preserve">34. Lo EYY, </w:t>
      </w:r>
      <w:proofErr w:type="spellStart"/>
      <w:r w:rsidRPr="00A5609E">
        <w:rPr>
          <w:rFonts w:ascii="Arial" w:hAnsi="Arial" w:cs="Arial"/>
          <w:bCs/>
          <w:color w:val="000000" w:themeColor="text1"/>
          <w:sz w:val="24"/>
          <w:szCs w:val="24"/>
          <w:lang w:val="en-CA"/>
        </w:rPr>
        <w:t>Delenasaw</w:t>
      </w:r>
      <w:proofErr w:type="spellEnd"/>
      <w:r w:rsidRPr="00A5609E">
        <w:rPr>
          <w:rFonts w:ascii="Arial" w:hAnsi="Arial" w:cs="Arial"/>
          <w:bCs/>
          <w:color w:val="000000" w:themeColor="text1"/>
          <w:sz w:val="24"/>
          <w:szCs w:val="24"/>
          <w:lang w:val="en-CA"/>
        </w:rPr>
        <w:t xml:space="preserve"> Y, Zhong D, </w:t>
      </w:r>
      <w:proofErr w:type="spellStart"/>
      <w:r w:rsidRPr="00A5609E">
        <w:rPr>
          <w:rFonts w:ascii="Arial" w:hAnsi="Arial" w:cs="Arial"/>
          <w:bCs/>
          <w:color w:val="000000" w:themeColor="text1"/>
          <w:sz w:val="24"/>
          <w:szCs w:val="24"/>
          <w:lang w:val="en-CA"/>
        </w:rPr>
        <w:t>Zemene</w:t>
      </w:r>
      <w:proofErr w:type="spellEnd"/>
      <w:r w:rsidRPr="00A5609E">
        <w:rPr>
          <w:rFonts w:ascii="Arial" w:hAnsi="Arial" w:cs="Arial"/>
          <w:bCs/>
          <w:color w:val="000000" w:themeColor="text1"/>
          <w:sz w:val="24"/>
          <w:szCs w:val="24"/>
          <w:lang w:val="en-CA"/>
        </w:rPr>
        <w:t xml:space="preserve"> E, </w:t>
      </w:r>
      <w:proofErr w:type="spellStart"/>
      <w:r w:rsidRPr="00A5609E">
        <w:rPr>
          <w:rFonts w:ascii="Arial" w:hAnsi="Arial" w:cs="Arial"/>
          <w:bCs/>
          <w:color w:val="000000" w:themeColor="text1"/>
          <w:sz w:val="24"/>
          <w:szCs w:val="24"/>
          <w:lang w:val="en-CA"/>
        </w:rPr>
        <w:t>Degefa</w:t>
      </w:r>
      <w:proofErr w:type="spellEnd"/>
      <w:r w:rsidRPr="00A5609E">
        <w:rPr>
          <w:rFonts w:ascii="Arial" w:hAnsi="Arial" w:cs="Arial"/>
          <w:bCs/>
          <w:color w:val="000000" w:themeColor="text1"/>
          <w:sz w:val="24"/>
          <w:szCs w:val="24"/>
          <w:lang w:val="en-CA"/>
        </w:rPr>
        <w:t xml:space="preserve"> T, </w:t>
      </w:r>
      <w:proofErr w:type="spellStart"/>
      <w:r w:rsidRPr="00A5609E">
        <w:rPr>
          <w:rFonts w:ascii="Arial" w:hAnsi="Arial" w:cs="Arial"/>
          <w:bCs/>
          <w:color w:val="000000" w:themeColor="text1"/>
          <w:sz w:val="24"/>
          <w:szCs w:val="24"/>
          <w:lang w:val="en-CA"/>
        </w:rPr>
        <w:t>Tushune</w:t>
      </w:r>
      <w:proofErr w:type="spellEnd"/>
      <w:r w:rsidRPr="00A5609E">
        <w:rPr>
          <w:rFonts w:ascii="Arial" w:hAnsi="Arial" w:cs="Arial"/>
          <w:bCs/>
          <w:color w:val="000000" w:themeColor="text1"/>
          <w:sz w:val="24"/>
          <w:szCs w:val="24"/>
          <w:lang w:val="en-CA"/>
        </w:rPr>
        <w:t xml:space="preserve"> K, et al. Molecular epidemiology of</w:t>
      </w:r>
      <w:r w:rsidRPr="00A5609E">
        <w:rPr>
          <w:rFonts w:ascii="Arial" w:hAnsi="Arial" w:cs="Arial"/>
          <w:bCs/>
          <w:i/>
          <w:color w:val="000000" w:themeColor="text1"/>
          <w:sz w:val="24"/>
          <w:szCs w:val="24"/>
          <w:lang w:val="en-CA"/>
        </w:rPr>
        <w:t xml:space="preserve"> Plasmodium vivax</w:t>
      </w:r>
      <w:r w:rsidRPr="00A5609E">
        <w:rPr>
          <w:rFonts w:ascii="Arial" w:hAnsi="Arial" w:cs="Arial"/>
          <w:bCs/>
          <w:color w:val="000000" w:themeColor="text1"/>
          <w:sz w:val="24"/>
          <w:szCs w:val="24"/>
          <w:lang w:val="en-CA"/>
        </w:rPr>
        <w:t xml:space="preserve"> and</w:t>
      </w:r>
      <w:r w:rsidRPr="00A5609E">
        <w:rPr>
          <w:rFonts w:ascii="Arial" w:hAnsi="Arial" w:cs="Arial"/>
          <w:bCs/>
          <w:i/>
          <w:color w:val="000000" w:themeColor="text1"/>
          <w:sz w:val="24"/>
          <w:szCs w:val="24"/>
          <w:lang w:val="en-CA"/>
        </w:rPr>
        <w:t xml:space="preserve"> Plasmodium falciparum</w:t>
      </w:r>
      <w:r w:rsidRPr="00A5609E">
        <w:rPr>
          <w:rFonts w:ascii="Arial" w:hAnsi="Arial" w:cs="Arial"/>
          <w:bCs/>
          <w:color w:val="000000" w:themeColor="text1"/>
          <w:sz w:val="24"/>
          <w:szCs w:val="24"/>
          <w:lang w:val="en-CA"/>
        </w:rPr>
        <w:t xml:space="preserve"> malaria among Duffy-positive and Duffy-negative populations in Ethiopia.</w:t>
      </w:r>
      <w:r w:rsidRPr="00A5609E">
        <w:rPr>
          <w:rFonts w:ascii="Arial" w:hAnsi="Arial" w:cs="Arial"/>
          <w:bCs/>
          <w:i/>
          <w:color w:val="000000" w:themeColor="text1"/>
          <w:sz w:val="24"/>
          <w:szCs w:val="24"/>
          <w:lang w:val="en-CA"/>
        </w:rPr>
        <w:t xml:space="preserve"> Malar J</w:t>
      </w:r>
      <w:r w:rsidRPr="00A5609E">
        <w:rPr>
          <w:rFonts w:ascii="Arial" w:hAnsi="Arial" w:cs="Arial"/>
          <w:bCs/>
          <w:color w:val="000000" w:themeColor="text1"/>
          <w:sz w:val="24"/>
          <w:szCs w:val="24"/>
          <w:lang w:val="en-CA"/>
        </w:rPr>
        <w:t xml:space="preserve"> </w:t>
      </w:r>
      <w:proofErr w:type="gramStart"/>
      <w:r w:rsidRPr="00A5609E">
        <w:rPr>
          <w:rFonts w:ascii="Arial" w:hAnsi="Arial" w:cs="Arial"/>
          <w:bCs/>
          <w:color w:val="000000" w:themeColor="text1"/>
          <w:sz w:val="24"/>
          <w:szCs w:val="24"/>
          <w:lang w:val="en-CA"/>
        </w:rPr>
        <w:t>2015;</w:t>
      </w:r>
      <w:r w:rsidRPr="00A5609E">
        <w:rPr>
          <w:rFonts w:ascii="Arial" w:hAnsi="Arial" w:cs="Arial"/>
          <w:bCs/>
          <w:color w:val="000000" w:themeColor="text1"/>
          <w:sz w:val="24"/>
          <w:szCs w:val="24"/>
        </w:rPr>
        <w:t>14:84</w:t>
      </w:r>
      <w:proofErr w:type="gramEnd"/>
      <w:r w:rsidRPr="00A5609E">
        <w:rPr>
          <w:rFonts w:ascii="Arial" w:hAnsi="Arial" w:cs="Arial"/>
          <w:bCs/>
          <w:color w:val="000000" w:themeColor="text1"/>
          <w:sz w:val="24"/>
          <w:szCs w:val="24"/>
        </w:rPr>
        <w:t>-94</w:t>
      </w:r>
      <w:r w:rsidRPr="00A5609E">
        <w:rPr>
          <w:rFonts w:ascii="Arial" w:hAnsi="Arial" w:cs="Arial"/>
          <w:bCs/>
          <w:i/>
          <w:color w:val="000000" w:themeColor="text1"/>
          <w:sz w:val="24"/>
          <w:szCs w:val="24"/>
          <w:lang w:val="en-CA"/>
        </w:rPr>
        <w:t>.</w:t>
      </w:r>
    </w:p>
    <w:p w14:paraId="63175FD0" w14:textId="53BD831C" w:rsidR="00A5609E" w:rsidRPr="00A5609E" w:rsidRDefault="00A5609E" w:rsidP="00A5609E">
      <w:pPr>
        <w:pStyle w:val="ListParagraph"/>
        <w:numPr>
          <w:ilvl w:val="0"/>
          <w:numId w:val="1"/>
        </w:numPr>
        <w:spacing w:line="480" w:lineRule="auto"/>
        <w:rPr>
          <w:rFonts w:ascii="Arial" w:hAnsi="Arial" w:cs="Arial"/>
          <w:bCs/>
          <w:noProof/>
          <w:color w:val="000000" w:themeColor="text1"/>
          <w:sz w:val="24"/>
          <w:szCs w:val="24"/>
        </w:rPr>
      </w:pPr>
      <w:r w:rsidRPr="00A5609E">
        <w:rPr>
          <w:rFonts w:ascii="Arial" w:hAnsi="Arial" w:cs="Arial"/>
          <w:bCs/>
          <w:noProof/>
          <w:color w:val="000000" w:themeColor="text1"/>
          <w:sz w:val="24"/>
          <w:szCs w:val="24"/>
          <w:lang w:val="fr-FR"/>
        </w:rPr>
        <w:t xml:space="preserve">Menard D, Barnadas C, Bouchier C, Henry-Halldin C, Gray LR, Ratsimbasoa A, et al. </w:t>
      </w:r>
      <w:r w:rsidRPr="00A5609E">
        <w:rPr>
          <w:rFonts w:ascii="Arial" w:hAnsi="Arial" w:cs="Arial"/>
          <w:bCs/>
          <w:i/>
          <w:noProof/>
          <w:color w:val="000000" w:themeColor="text1"/>
          <w:sz w:val="24"/>
          <w:szCs w:val="24"/>
        </w:rPr>
        <w:t>Plasmodium vivax</w:t>
      </w:r>
      <w:r w:rsidRPr="00A5609E">
        <w:rPr>
          <w:rFonts w:ascii="Arial" w:hAnsi="Arial" w:cs="Arial"/>
          <w:bCs/>
          <w:noProof/>
          <w:color w:val="000000" w:themeColor="text1"/>
          <w:sz w:val="24"/>
          <w:szCs w:val="24"/>
        </w:rPr>
        <w:t xml:space="preserve"> clinical malaria is commonly observed in Duffy-negative Malagasy people. </w:t>
      </w:r>
      <w:r w:rsidRPr="00A5609E">
        <w:rPr>
          <w:rFonts w:ascii="Arial" w:hAnsi="Arial" w:cs="Arial"/>
          <w:bCs/>
          <w:i/>
          <w:noProof/>
          <w:color w:val="000000" w:themeColor="text1"/>
          <w:sz w:val="24"/>
          <w:szCs w:val="24"/>
        </w:rPr>
        <w:t>Proc Natl Acad Sci USA</w:t>
      </w:r>
      <w:r w:rsidRPr="00A5609E">
        <w:rPr>
          <w:rFonts w:ascii="Arial" w:hAnsi="Arial" w:cs="Arial"/>
          <w:bCs/>
          <w:noProof/>
          <w:color w:val="000000" w:themeColor="text1"/>
          <w:sz w:val="24"/>
          <w:szCs w:val="24"/>
        </w:rPr>
        <w:t xml:space="preserve"> 2010;107:5967-5971.</w:t>
      </w:r>
    </w:p>
    <w:p w14:paraId="12C3ACBF" w14:textId="4DAFB94E" w:rsidR="00A5609E" w:rsidRPr="00A5609E" w:rsidRDefault="00A5609E" w:rsidP="00A5609E">
      <w:pPr>
        <w:pStyle w:val="ListParagraph"/>
        <w:numPr>
          <w:ilvl w:val="0"/>
          <w:numId w:val="1"/>
        </w:numPr>
        <w:spacing w:line="480" w:lineRule="auto"/>
        <w:rPr>
          <w:rFonts w:ascii="Arial" w:hAnsi="Arial" w:cs="Arial"/>
          <w:bCs/>
          <w:iCs/>
          <w:color w:val="000000" w:themeColor="text1"/>
          <w:sz w:val="24"/>
          <w:szCs w:val="24"/>
          <w:lang w:val="en-CA"/>
        </w:rPr>
      </w:pPr>
      <w:r w:rsidRPr="00A5609E">
        <w:rPr>
          <w:rFonts w:ascii="Arial" w:hAnsi="Arial" w:cs="Arial"/>
          <w:bCs/>
          <w:noProof/>
          <w:color w:val="000000" w:themeColor="text1"/>
          <w:sz w:val="24"/>
          <w:szCs w:val="24"/>
        </w:rPr>
        <w:t xml:space="preserve">Edgar RC. </w:t>
      </w:r>
      <w:r w:rsidRPr="00A5609E">
        <w:rPr>
          <w:rFonts w:ascii="Arial" w:hAnsi="Arial" w:cs="Arial"/>
          <w:bCs/>
          <w:color w:val="000000" w:themeColor="text1"/>
          <w:sz w:val="24"/>
          <w:szCs w:val="24"/>
        </w:rPr>
        <w:t>MUSCLE: a multiple sequence alignment method with reduced time and space complexity</w:t>
      </w:r>
      <w:r w:rsidRPr="00A5609E">
        <w:rPr>
          <w:rFonts w:ascii="Arial" w:hAnsi="Arial" w:cs="Arial"/>
          <w:bCs/>
          <w:iCs/>
          <w:color w:val="000000" w:themeColor="text1"/>
          <w:sz w:val="24"/>
          <w:szCs w:val="24"/>
          <w:lang w:val="en-CA"/>
        </w:rPr>
        <w:t xml:space="preserve">. </w:t>
      </w:r>
      <w:r w:rsidRPr="00A5609E">
        <w:rPr>
          <w:rFonts w:ascii="Arial" w:hAnsi="Arial" w:cs="Arial"/>
          <w:bCs/>
          <w:i/>
          <w:color w:val="000000" w:themeColor="text1"/>
          <w:sz w:val="24"/>
          <w:szCs w:val="24"/>
          <w:lang w:val="en-CA"/>
        </w:rPr>
        <w:t>BMC Bioinformatics</w:t>
      </w:r>
      <w:r w:rsidRPr="00A5609E">
        <w:rPr>
          <w:rFonts w:ascii="Arial" w:hAnsi="Arial" w:cs="Arial"/>
          <w:bCs/>
          <w:iCs/>
          <w:color w:val="000000" w:themeColor="text1"/>
          <w:sz w:val="24"/>
          <w:szCs w:val="24"/>
          <w:lang w:val="en-CA"/>
        </w:rPr>
        <w:t xml:space="preserve"> </w:t>
      </w:r>
      <w:proofErr w:type="gramStart"/>
      <w:r w:rsidRPr="00A5609E">
        <w:rPr>
          <w:rFonts w:ascii="Arial" w:hAnsi="Arial" w:cs="Arial"/>
          <w:bCs/>
          <w:iCs/>
          <w:color w:val="000000" w:themeColor="text1"/>
          <w:sz w:val="24"/>
          <w:szCs w:val="24"/>
          <w:lang w:val="en-CA"/>
        </w:rPr>
        <w:t>2004;5:113</w:t>
      </w:r>
      <w:proofErr w:type="gramEnd"/>
      <w:r w:rsidRPr="00A5609E">
        <w:rPr>
          <w:rFonts w:ascii="Arial" w:hAnsi="Arial" w:cs="Arial"/>
          <w:bCs/>
          <w:iCs/>
          <w:color w:val="000000" w:themeColor="text1"/>
          <w:sz w:val="24"/>
          <w:szCs w:val="24"/>
          <w:lang w:val="en-CA"/>
        </w:rPr>
        <w:t>.</w:t>
      </w:r>
    </w:p>
    <w:p w14:paraId="77C6CA5D" w14:textId="75D20252" w:rsidR="00A5609E" w:rsidRPr="00A5609E" w:rsidRDefault="00A5609E" w:rsidP="00A5609E">
      <w:pPr>
        <w:pStyle w:val="ListParagraph"/>
        <w:numPr>
          <w:ilvl w:val="0"/>
          <w:numId w:val="1"/>
        </w:numPr>
        <w:spacing w:line="480" w:lineRule="auto"/>
        <w:rPr>
          <w:rFonts w:ascii="Arial" w:eastAsia="Times New Roman" w:hAnsi="Arial" w:cs="Arial"/>
          <w:sz w:val="24"/>
          <w:szCs w:val="24"/>
        </w:rPr>
      </w:pPr>
      <w:r w:rsidRPr="00A5609E">
        <w:rPr>
          <w:rFonts w:ascii="Arial" w:eastAsia="Times New Roman" w:hAnsi="Arial" w:cs="Arial"/>
          <w:sz w:val="24"/>
          <w:szCs w:val="24"/>
        </w:rPr>
        <w:t xml:space="preserve">Hall TA. </w:t>
      </w:r>
      <w:proofErr w:type="spellStart"/>
      <w:r w:rsidRPr="00A5609E">
        <w:rPr>
          <w:rFonts w:ascii="Arial" w:eastAsia="Times New Roman" w:hAnsi="Arial" w:cs="Arial"/>
          <w:sz w:val="24"/>
          <w:szCs w:val="24"/>
        </w:rPr>
        <w:t>BioEdit</w:t>
      </w:r>
      <w:proofErr w:type="spellEnd"/>
      <w:r w:rsidRPr="00A5609E">
        <w:rPr>
          <w:rFonts w:ascii="Arial" w:eastAsia="Times New Roman" w:hAnsi="Arial" w:cs="Arial"/>
          <w:sz w:val="24"/>
          <w:szCs w:val="24"/>
        </w:rPr>
        <w:t xml:space="preserve">: a user-friendly biological sequence alignment editor and analysis program for Windows 95/98/NT. </w:t>
      </w:r>
      <w:proofErr w:type="spellStart"/>
      <w:r w:rsidRPr="00A5609E">
        <w:rPr>
          <w:rFonts w:ascii="Arial" w:eastAsia="Times New Roman" w:hAnsi="Arial" w:cs="Arial"/>
          <w:i/>
          <w:iCs/>
          <w:sz w:val="24"/>
          <w:szCs w:val="24"/>
        </w:rPr>
        <w:t>Nucl</w:t>
      </w:r>
      <w:proofErr w:type="spellEnd"/>
      <w:r w:rsidRPr="00A5609E">
        <w:rPr>
          <w:rFonts w:ascii="Arial" w:eastAsia="Times New Roman" w:hAnsi="Arial" w:cs="Arial"/>
          <w:i/>
          <w:iCs/>
          <w:sz w:val="24"/>
          <w:szCs w:val="24"/>
        </w:rPr>
        <w:t xml:space="preserve"> Acids </w:t>
      </w:r>
      <w:proofErr w:type="spellStart"/>
      <w:r w:rsidRPr="00A5609E">
        <w:rPr>
          <w:rFonts w:ascii="Arial" w:eastAsia="Times New Roman" w:hAnsi="Arial" w:cs="Arial"/>
          <w:i/>
          <w:iCs/>
          <w:sz w:val="24"/>
          <w:szCs w:val="24"/>
        </w:rPr>
        <w:t>Symp</w:t>
      </w:r>
      <w:proofErr w:type="spellEnd"/>
      <w:r w:rsidRPr="00A5609E">
        <w:rPr>
          <w:rFonts w:ascii="Arial" w:eastAsia="Times New Roman" w:hAnsi="Arial" w:cs="Arial"/>
          <w:sz w:val="24"/>
          <w:szCs w:val="24"/>
        </w:rPr>
        <w:t xml:space="preserve"> </w:t>
      </w:r>
      <w:proofErr w:type="gramStart"/>
      <w:r w:rsidRPr="00A5609E">
        <w:rPr>
          <w:rFonts w:ascii="Arial" w:eastAsia="Times New Roman" w:hAnsi="Arial" w:cs="Arial"/>
          <w:sz w:val="24"/>
          <w:szCs w:val="24"/>
        </w:rPr>
        <w:t>1999;41:95</w:t>
      </w:r>
      <w:proofErr w:type="gramEnd"/>
      <w:r w:rsidRPr="00A5609E">
        <w:rPr>
          <w:rFonts w:ascii="Arial" w:eastAsia="Times New Roman" w:hAnsi="Arial" w:cs="Arial"/>
          <w:sz w:val="24"/>
          <w:szCs w:val="24"/>
        </w:rPr>
        <w:t>-98.</w:t>
      </w:r>
    </w:p>
    <w:p w14:paraId="204E4DB8" w14:textId="14B00CB0" w:rsidR="00A5609E" w:rsidRPr="00A5609E" w:rsidRDefault="00A5609E" w:rsidP="00A5609E">
      <w:pPr>
        <w:pStyle w:val="ListParagraph"/>
        <w:numPr>
          <w:ilvl w:val="0"/>
          <w:numId w:val="1"/>
        </w:numPr>
        <w:spacing w:line="480" w:lineRule="auto"/>
        <w:rPr>
          <w:rFonts w:ascii="Arial" w:hAnsi="Arial" w:cs="Arial"/>
          <w:bCs/>
          <w:iCs/>
          <w:color w:val="000000" w:themeColor="text1"/>
          <w:sz w:val="24"/>
          <w:szCs w:val="24"/>
          <w:lang w:val="en-CA"/>
        </w:rPr>
      </w:pPr>
      <w:r w:rsidRPr="00A5609E">
        <w:rPr>
          <w:rFonts w:ascii="Arial" w:hAnsi="Arial" w:cs="Arial"/>
          <w:bCs/>
          <w:iCs/>
          <w:color w:val="000000" w:themeColor="text1"/>
          <w:sz w:val="24"/>
          <w:szCs w:val="24"/>
          <w:lang w:val="en-CA"/>
        </w:rPr>
        <w:t xml:space="preserve">Stamatakis A. </w:t>
      </w:r>
      <w:proofErr w:type="spellStart"/>
      <w:r w:rsidRPr="00A5609E">
        <w:rPr>
          <w:rFonts w:ascii="Arial" w:hAnsi="Arial" w:cs="Arial"/>
          <w:bCs/>
          <w:iCs/>
          <w:color w:val="000000" w:themeColor="text1"/>
          <w:sz w:val="24"/>
          <w:szCs w:val="24"/>
          <w:lang w:val="en-CA"/>
        </w:rPr>
        <w:t>RAxML</w:t>
      </w:r>
      <w:proofErr w:type="spellEnd"/>
      <w:r w:rsidRPr="00A5609E">
        <w:rPr>
          <w:rFonts w:ascii="Arial" w:hAnsi="Arial" w:cs="Arial"/>
          <w:bCs/>
          <w:iCs/>
          <w:color w:val="000000" w:themeColor="text1"/>
          <w:sz w:val="24"/>
          <w:szCs w:val="24"/>
          <w:lang w:val="en-CA"/>
        </w:rPr>
        <w:t xml:space="preserve"> version 8: A tool for phylogenetic analysis and post-analysis of large phylogenies. </w:t>
      </w:r>
      <w:r w:rsidRPr="00A5609E">
        <w:rPr>
          <w:rFonts w:ascii="Arial" w:hAnsi="Arial" w:cs="Arial"/>
          <w:bCs/>
          <w:i/>
          <w:color w:val="000000" w:themeColor="text1"/>
          <w:sz w:val="24"/>
          <w:szCs w:val="24"/>
          <w:lang w:val="en-CA"/>
        </w:rPr>
        <w:t>Bioinformatics</w:t>
      </w:r>
      <w:r w:rsidRPr="00A5609E">
        <w:rPr>
          <w:rFonts w:ascii="Arial" w:hAnsi="Arial" w:cs="Arial"/>
          <w:bCs/>
          <w:iCs/>
          <w:color w:val="000000" w:themeColor="text1"/>
          <w:sz w:val="24"/>
          <w:szCs w:val="24"/>
          <w:lang w:val="en-CA"/>
        </w:rPr>
        <w:t xml:space="preserve"> </w:t>
      </w:r>
      <w:proofErr w:type="gramStart"/>
      <w:r w:rsidRPr="00A5609E">
        <w:rPr>
          <w:rFonts w:ascii="Arial" w:hAnsi="Arial" w:cs="Arial"/>
          <w:bCs/>
          <w:iCs/>
          <w:color w:val="000000" w:themeColor="text1"/>
          <w:sz w:val="24"/>
          <w:szCs w:val="24"/>
          <w:lang w:val="en-CA"/>
        </w:rPr>
        <w:t>2014;30:1312</w:t>
      </w:r>
      <w:proofErr w:type="gramEnd"/>
      <w:r w:rsidRPr="00A5609E">
        <w:rPr>
          <w:rFonts w:ascii="Arial" w:hAnsi="Arial" w:cs="Arial"/>
          <w:bCs/>
          <w:iCs/>
          <w:color w:val="000000" w:themeColor="text1"/>
          <w:sz w:val="24"/>
          <w:szCs w:val="24"/>
          <w:lang w:val="en-CA"/>
        </w:rPr>
        <w:t>-1313.</w:t>
      </w:r>
    </w:p>
    <w:p w14:paraId="43F2CA6D" w14:textId="106B02D6" w:rsidR="00A5609E" w:rsidRPr="00CE31F5" w:rsidRDefault="00A5609E" w:rsidP="00CE31F5">
      <w:pPr>
        <w:pStyle w:val="ListParagraph"/>
        <w:numPr>
          <w:ilvl w:val="0"/>
          <w:numId w:val="1"/>
        </w:numPr>
        <w:spacing w:line="480" w:lineRule="auto"/>
        <w:rPr>
          <w:rFonts w:ascii="Arial" w:hAnsi="Arial" w:cs="Arial"/>
          <w:bCs/>
          <w:iCs/>
          <w:color w:val="000000" w:themeColor="text1"/>
          <w:sz w:val="24"/>
          <w:szCs w:val="24"/>
          <w:lang w:val="en-CA"/>
        </w:rPr>
      </w:pPr>
      <w:proofErr w:type="spellStart"/>
      <w:r w:rsidRPr="00A5609E">
        <w:rPr>
          <w:rFonts w:ascii="Arial" w:eastAsia="Times New Roman" w:hAnsi="Arial" w:cs="Arial"/>
          <w:color w:val="000000" w:themeColor="text1"/>
          <w:sz w:val="24"/>
          <w:szCs w:val="24"/>
          <w:shd w:val="clear" w:color="auto" w:fill="FFFFFF"/>
        </w:rPr>
        <w:t>Rozas</w:t>
      </w:r>
      <w:proofErr w:type="spellEnd"/>
      <w:r w:rsidRPr="00A5609E">
        <w:rPr>
          <w:rFonts w:ascii="Arial" w:eastAsia="Times New Roman" w:hAnsi="Arial" w:cs="Arial"/>
          <w:color w:val="000000" w:themeColor="text1"/>
          <w:sz w:val="24"/>
          <w:szCs w:val="24"/>
          <w:shd w:val="clear" w:color="auto" w:fill="FFFFFF"/>
        </w:rPr>
        <w:t xml:space="preserve"> J, Ferrer-Mata A, Sánchez-</w:t>
      </w:r>
      <w:proofErr w:type="spellStart"/>
      <w:r w:rsidRPr="00A5609E">
        <w:rPr>
          <w:rFonts w:ascii="Arial" w:eastAsia="Times New Roman" w:hAnsi="Arial" w:cs="Arial"/>
          <w:color w:val="000000" w:themeColor="text1"/>
          <w:sz w:val="24"/>
          <w:szCs w:val="24"/>
          <w:shd w:val="clear" w:color="auto" w:fill="FFFFFF"/>
        </w:rPr>
        <w:t>DelBarrio</w:t>
      </w:r>
      <w:proofErr w:type="spellEnd"/>
      <w:r w:rsidRPr="00A5609E">
        <w:rPr>
          <w:rFonts w:ascii="Arial" w:eastAsia="Times New Roman" w:hAnsi="Arial" w:cs="Arial"/>
          <w:color w:val="000000" w:themeColor="text1"/>
          <w:sz w:val="24"/>
          <w:szCs w:val="24"/>
          <w:shd w:val="clear" w:color="auto" w:fill="FFFFFF"/>
        </w:rPr>
        <w:t xml:space="preserve"> JC, </w:t>
      </w:r>
      <w:proofErr w:type="spellStart"/>
      <w:r w:rsidRPr="00A5609E">
        <w:rPr>
          <w:rFonts w:ascii="Arial" w:eastAsia="Times New Roman" w:hAnsi="Arial" w:cs="Arial"/>
          <w:color w:val="000000" w:themeColor="text1"/>
          <w:sz w:val="24"/>
          <w:szCs w:val="24"/>
          <w:shd w:val="clear" w:color="auto" w:fill="FFFFFF"/>
        </w:rPr>
        <w:t>Guirao</w:t>
      </w:r>
      <w:proofErr w:type="spellEnd"/>
      <w:r w:rsidRPr="00A5609E">
        <w:rPr>
          <w:rFonts w:ascii="Arial" w:eastAsia="Times New Roman" w:hAnsi="Arial" w:cs="Arial"/>
          <w:color w:val="000000" w:themeColor="text1"/>
          <w:sz w:val="24"/>
          <w:szCs w:val="24"/>
          <w:shd w:val="clear" w:color="auto" w:fill="FFFFFF"/>
        </w:rPr>
        <w:t xml:space="preserve">-Rico S, </w:t>
      </w:r>
      <w:proofErr w:type="spellStart"/>
      <w:r w:rsidRPr="00A5609E">
        <w:rPr>
          <w:rFonts w:ascii="Arial" w:eastAsia="Times New Roman" w:hAnsi="Arial" w:cs="Arial"/>
          <w:color w:val="000000" w:themeColor="text1"/>
          <w:sz w:val="24"/>
          <w:szCs w:val="24"/>
          <w:shd w:val="clear" w:color="auto" w:fill="FFFFFF"/>
        </w:rPr>
        <w:t>Librado</w:t>
      </w:r>
      <w:proofErr w:type="spellEnd"/>
      <w:r w:rsidRPr="00A5609E">
        <w:rPr>
          <w:rFonts w:ascii="Arial" w:eastAsia="Times New Roman" w:hAnsi="Arial" w:cs="Arial"/>
          <w:color w:val="000000" w:themeColor="text1"/>
          <w:sz w:val="24"/>
          <w:szCs w:val="24"/>
          <w:shd w:val="clear" w:color="auto" w:fill="FFFFFF"/>
        </w:rPr>
        <w:t xml:space="preserve"> P, Ramos-</w:t>
      </w:r>
      <w:proofErr w:type="spellStart"/>
      <w:r w:rsidRPr="00A5609E">
        <w:rPr>
          <w:rFonts w:ascii="Arial" w:eastAsia="Times New Roman" w:hAnsi="Arial" w:cs="Arial"/>
          <w:color w:val="000000" w:themeColor="text1"/>
          <w:sz w:val="24"/>
          <w:szCs w:val="24"/>
          <w:shd w:val="clear" w:color="auto" w:fill="FFFFFF"/>
        </w:rPr>
        <w:t>Onsins</w:t>
      </w:r>
      <w:proofErr w:type="spellEnd"/>
      <w:r w:rsidRPr="00A5609E">
        <w:rPr>
          <w:rFonts w:ascii="Arial" w:eastAsia="Times New Roman" w:hAnsi="Arial" w:cs="Arial"/>
          <w:color w:val="000000" w:themeColor="text1"/>
          <w:sz w:val="24"/>
          <w:szCs w:val="24"/>
          <w:shd w:val="clear" w:color="auto" w:fill="FFFFFF"/>
        </w:rPr>
        <w:t xml:space="preserve"> SE, Sánchez-</w:t>
      </w:r>
      <w:proofErr w:type="spellStart"/>
      <w:r w:rsidRPr="00A5609E">
        <w:rPr>
          <w:rFonts w:ascii="Arial" w:eastAsia="Times New Roman" w:hAnsi="Arial" w:cs="Arial"/>
          <w:color w:val="000000" w:themeColor="text1"/>
          <w:sz w:val="24"/>
          <w:szCs w:val="24"/>
          <w:shd w:val="clear" w:color="auto" w:fill="FFFFFF"/>
        </w:rPr>
        <w:t>Gracia</w:t>
      </w:r>
      <w:proofErr w:type="spellEnd"/>
      <w:r w:rsidRPr="00A5609E">
        <w:rPr>
          <w:rFonts w:ascii="Arial" w:eastAsia="Times New Roman" w:hAnsi="Arial" w:cs="Arial"/>
          <w:color w:val="000000" w:themeColor="text1"/>
          <w:sz w:val="24"/>
          <w:szCs w:val="24"/>
          <w:shd w:val="clear" w:color="auto" w:fill="FFFFFF"/>
        </w:rPr>
        <w:t xml:space="preserve"> A. </w:t>
      </w:r>
      <w:proofErr w:type="spellStart"/>
      <w:r w:rsidRPr="00A5609E">
        <w:rPr>
          <w:rFonts w:ascii="Arial" w:eastAsia="Times New Roman" w:hAnsi="Arial" w:cs="Arial"/>
          <w:color w:val="000000" w:themeColor="text1"/>
          <w:sz w:val="24"/>
          <w:szCs w:val="24"/>
          <w:shd w:val="clear" w:color="auto" w:fill="FFFFFF"/>
        </w:rPr>
        <w:t>DnaSP</w:t>
      </w:r>
      <w:proofErr w:type="spellEnd"/>
      <w:r w:rsidRPr="00A5609E">
        <w:rPr>
          <w:rFonts w:ascii="Arial" w:eastAsia="Times New Roman" w:hAnsi="Arial" w:cs="Arial"/>
          <w:color w:val="000000" w:themeColor="text1"/>
          <w:sz w:val="24"/>
          <w:szCs w:val="24"/>
          <w:shd w:val="clear" w:color="auto" w:fill="FFFFFF"/>
        </w:rPr>
        <w:t xml:space="preserve"> 6: DNA sequence polymorphism analysis of large datasets. </w:t>
      </w:r>
      <w:r w:rsidRPr="00A5609E">
        <w:rPr>
          <w:rFonts w:ascii="Arial" w:eastAsia="Times New Roman" w:hAnsi="Arial" w:cs="Arial"/>
          <w:i/>
          <w:iCs/>
          <w:color w:val="000000" w:themeColor="text1"/>
          <w:sz w:val="24"/>
          <w:szCs w:val="24"/>
          <w:shd w:val="clear" w:color="auto" w:fill="FFFFFF"/>
        </w:rPr>
        <w:t xml:space="preserve">Mol Biol </w:t>
      </w:r>
      <w:proofErr w:type="spellStart"/>
      <w:r w:rsidRPr="00A5609E">
        <w:rPr>
          <w:rFonts w:ascii="Arial" w:eastAsia="Times New Roman" w:hAnsi="Arial" w:cs="Arial"/>
          <w:i/>
          <w:iCs/>
          <w:color w:val="000000" w:themeColor="text1"/>
          <w:sz w:val="24"/>
          <w:szCs w:val="24"/>
          <w:shd w:val="clear" w:color="auto" w:fill="FFFFFF"/>
        </w:rPr>
        <w:t>Evol</w:t>
      </w:r>
      <w:proofErr w:type="spellEnd"/>
      <w:r w:rsidRPr="00A5609E">
        <w:rPr>
          <w:rFonts w:ascii="Arial" w:eastAsia="Times New Roman" w:hAnsi="Arial" w:cs="Arial"/>
          <w:i/>
          <w:iCs/>
          <w:color w:val="000000" w:themeColor="text1"/>
          <w:sz w:val="24"/>
          <w:szCs w:val="24"/>
          <w:shd w:val="clear" w:color="auto" w:fill="FFFFFF"/>
        </w:rPr>
        <w:t> </w:t>
      </w:r>
      <w:proofErr w:type="gramStart"/>
      <w:r w:rsidRPr="00A5609E">
        <w:rPr>
          <w:rFonts w:ascii="Arial" w:eastAsia="Times New Roman" w:hAnsi="Arial" w:cs="Arial"/>
          <w:color w:val="000000" w:themeColor="text1"/>
          <w:sz w:val="24"/>
          <w:szCs w:val="24"/>
          <w:shd w:val="clear" w:color="auto" w:fill="FFFFFF"/>
        </w:rPr>
        <w:t>2017</w:t>
      </w:r>
      <w:r w:rsidRPr="00A5609E">
        <w:rPr>
          <w:rFonts w:ascii="Arial" w:eastAsia="Times New Roman" w:hAnsi="Arial" w:cs="Arial"/>
          <w:i/>
          <w:iCs/>
          <w:color w:val="000000" w:themeColor="text1"/>
          <w:sz w:val="24"/>
          <w:szCs w:val="24"/>
          <w:shd w:val="clear" w:color="auto" w:fill="FFFFFF"/>
        </w:rPr>
        <w:t>;</w:t>
      </w:r>
      <w:r w:rsidRPr="00A5609E">
        <w:rPr>
          <w:rFonts w:ascii="Arial" w:eastAsia="Times New Roman" w:hAnsi="Arial" w:cs="Arial"/>
          <w:color w:val="000000" w:themeColor="text1"/>
          <w:sz w:val="24"/>
          <w:szCs w:val="24"/>
          <w:shd w:val="clear" w:color="auto" w:fill="FFFFFF"/>
        </w:rPr>
        <w:t>34:3299</w:t>
      </w:r>
      <w:proofErr w:type="gramEnd"/>
      <w:r w:rsidRPr="00A5609E">
        <w:rPr>
          <w:rFonts w:ascii="Arial" w:eastAsia="Times New Roman" w:hAnsi="Arial" w:cs="Arial"/>
          <w:color w:val="000000" w:themeColor="text1"/>
          <w:sz w:val="24"/>
          <w:szCs w:val="24"/>
          <w:shd w:val="clear" w:color="auto" w:fill="FFFFFF"/>
        </w:rPr>
        <w:t>-3302.</w:t>
      </w:r>
    </w:p>
    <w:sectPr w:rsidR="00A5609E" w:rsidRPr="00CE31F5" w:rsidSect="00E16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A7D2F"/>
    <w:multiLevelType w:val="hybridMultilevel"/>
    <w:tmpl w:val="7E6A1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53"/>
    <w:rsid w:val="00270E8A"/>
    <w:rsid w:val="002E7EF9"/>
    <w:rsid w:val="003109E0"/>
    <w:rsid w:val="0076554F"/>
    <w:rsid w:val="007D130A"/>
    <w:rsid w:val="00A12518"/>
    <w:rsid w:val="00A5609E"/>
    <w:rsid w:val="00BC6C53"/>
    <w:rsid w:val="00CE31F5"/>
    <w:rsid w:val="00DA3BB0"/>
    <w:rsid w:val="00DF5F42"/>
    <w:rsid w:val="00E16432"/>
    <w:rsid w:val="00E21142"/>
    <w:rsid w:val="00FF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9FBDB"/>
  <w15:chartTrackingRefBased/>
  <w15:docId w15:val="{3C62EA89-28A7-8A4A-B53A-B3BCA069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5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C6C53"/>
    <w:rPr>
      <w:i/>
      <w:iCs/>
    </w:rPr>
  </w:style>
  <w:style w:type="paragraph" w:styleId="BalloonText">
    <w:name w:val="Balloon Text"/>
    <w:basedOn w:val="Normal"/>
    <w:link w:val="BalloonTextChar"/>
    <w:uiPriority w:val="99"/>
    <w:semiHidden/>
    <w:unhideWhenUsed/>
    <w:rsid w:val="00270E8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0E8A"/>
    <w:rPr>
      <w:rFonts w:ascii="Times New Roman" w:hAnsi="Times New Roman" w:cs="Times New Roman"/>
      <w:sz w:val="18"/>
      <w:szCs w:val="18"/>
    </w:rPr>
  </w:style>
  <w:style w:type="paragraph" w:styleId="ListParagraph">
    <w:name w:val="List Paragraph"/>
    <w:basedOn w:val="Normal"/>
    <w:uiPriority w:val="34"/>
    <w:qFormat/>
    <w:rsid w:val="00DA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Lo</dc:creator>
  <cp:keywords/>
  <dc:description/>
  <cp:lastModifiedBy>Eugenia Lo</cp:lastModifiedBy>
  <cp:revision>13</cp:revision>
  <dcterms:created xsi:type="dcterms:W3CDTF">2020-11-19T20:29:00Z</dcterms:created>
  <dcterms:modified xsi:type="dcterms:W3CDTF">2020-12-07T15:51:00Z</dcterms:modified>
</cp:coreProperties>
</file>