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ACB" w:rsidRDefault="00F93ACB" w:rsidP="000926DF">
      <w:pPr>
        <w:jc w:val="both"/>
        <w:rPr>
          <w:rFonts w:ascii="Palatino Linotype" w:hAnsi="Palatino Linotype"/>
          <w:sz w:val="20"/>
          <w:lang w:val="en-US"/>
        </w:rPr>
      </w:pPr>
      <w:r w:rsidRPr="00F93ACB">
        <w:rPr>
          <w:rFonts w:ascii="Palatino Linotype" w:hAnsi="Palatino Linotype"/>
          <w:sz w:val="20"/>
          <w:lang w:val="en-US"/>
        </w:rPr>
        <w:t xml:space="preserve">Figure S1 shows the absorbance spectra of Au NPs, L-ascorbic acid, and PVP. The Au NPs spectrum shows the surface plasmon band at 537 nm and other optical bands at 265 nm and below 200 nm. The L-ascorbic acid spectrum shows one band in 265 nm. The spectrum of PVP shows one band in 249 nm. The L-ascorbic acid and PVP were used during the synthesis of Au NPs. After four washes the band at 265 nm remains in the Au NPs spectrum. Therefore, we conclude that the L-ascorbic acid is functionalizing the Au NPs. </w:t>
      </w:r>
    </w:p>
    <w:p w:rsidR="00F93ACB" w:rsidRPr="00F93ACB" w:rsidRDefault="00F93ACB" w:rsidP="000926DF">
      <w:pPr>
        <w:jc w:val="center"/>
        <w:rPr>
          <w:rFonts w:ascii="Palatino Linotype" w:hAnsi="Palatino Linotype"/>
          <w:sz w:val="20"/>
          <w:lang w:val="en-US"/>
        </w:rPr>
      </w:pPr>
      <w:r w:rsidRPr="00F93ACB">
        <w:rPr>
          <w:rFonts w:ascii="Palatino Linotype" w:hAnsi="Palatino Linotype"/>
          <w:noProof/>
          <w:sz w:val="20"/>
          <w:lang w:eastAsia="es-MX"/>
        </w:rPr>
        <w:drawing>
          <wp:inline distT="0" distB="0" distL="0" distR="0" wp14:anchorId="4E4F8747" wp14:editId="5C059F8F">
            <wp:extent cx="2459990" cy="21558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A su.jpe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59990" cy="2155825"/>
                    </a:xfrm>
                    <a:prstGeom prst="rect">
                      <a:avLst/>
                    </a:prstGeom>
                  </pic:spPr>
                </pic:pic>
              </a:graphicData>
            </a:graphic>
          </wp:inline>
        </w:drawing>
      </w:r>
    </w:p>
    <w:p w:rsidR="00F93ACB" w:rsidRPr="00F93ACB" w:rsidRDefault="00F93ACB" w:rsidP="000926DF">
      <w:pPr>
        <w:jc w:val="both"/>
        <w:rPr>
          <w:rFonts w:ascii="Palatino Linotype" w:hAnsi="Palatino Linotype"/>
          <w:sz w:val="20"/>
          <w:lang w:val="en-US"/>
        </w:rPr>
      </w:pPr>
      <w:r w:rsidRPr="00F93ACB">
        <w:rPr>
          <w:rFonts w:ascii="Palatino Linotype" w:hAnsi="Palatino Linotype"/>
          <w:b/>
          <w:sz w:val="20"/>
          <w:lang w:val="en-US"/>
        </w:rPr>
        <w:t>Figure S1</w:t>
      </w:r>
      <w:r w:rsidRPr="00F93ACB">
        <w:rPr>
          <w:rFonts w:ascii="Palatino Linotype" w:hAnsi="Palatino Linotype"/>
          <w:sz w:val="20"/>
          <w:lang w:val="en-US"/>
        </w:rPr>
        <w:t>. Absorbance spectra of the colloidal solution of Au NPs, L-ascorbic acid and PVP.</w:t>
      </w:r>
    </w:p>
    <w:p w:rsidR="00F93ACB" w:rsidRPr="00F93ACB" w:rsidRDefault="00F93ACB" w:rsidP="000926DF">
      <w:pPr>
        <w:jc w:val="both"/>
        <w:rPr>
          <w:rFonts w:ascii="Palatino Linotype" w:hAnsi="Palatino Linotype"/>
          <w:b/>
          <w:sz w:val="20"/>
          <w:lang w:val="en-US"/>
        </w:rPr>
      </w:pPr>
      <w:r w:rsidRPr="00F93ACB">
        <w:rPr>
          <w:rFonts w:ascii="Palatino Linotype" w:hAnsi="Palatino Linotype"/>
          <w:b/>
          <w:sz w:val="20"/>
          <w:lang w:val="en-US"/>
        </w:rPr>
        <w:t>Determination of N</w:t>
      </w:r>
      <w:r w:rsidRPr="00F93ACB">
        <w:rPr>
          <w:rFonts w:ascii="Palatino Linotype" w:hAnsi="Palatino Linotype"/>
          <w:b/>
          <w:sz w:val="20"/>
          <w:vertAlign w:val="subscript"/>
          <w:lang w:val="en-US"/>
        </w:rPr>
        <w:t>Raman</w:t>
      </w:r>
      <w:r w:rsidRPr="00F93ACB">
        <w:rPr>
          <w:rFonts w:ascii="Palatino Linotype" w:hAnsi="Palatino Linotype"/>
          <w:b/>
          <w:sz w:val="20"/>
          <w:lang w:val="en-US"/>
        </w:rPr>
        <w:t xml:space="preserve"> and N</w:t>
      </w:r>
      <w:r w:rsidRPr="00F93ACB">
        <w:rPr>
          <w:rFonts w:ascii="Palatino Linotype" w:hAnsi="Palatino Linotype"/>
          <w:b/>
          <w:sz w:val="20"/>
          <w:vertAlign w:val="subscript"/>
          <w:lang w:val="en-US"/>
        </w:rPr>
        <w:t>SERS</w:t>
      </w:r>
    </w:p>
    <w:p w:rsidR="00F93ACB" w:rsidRPr="00F93ACB" w:rsidRDefault="00F93ACB" w:rsidP="000926DF">
      <w:pPr>
        <w:jc w:val="both"/>
        <w:rPr>
          <w:rFonts w:ascii="Palatino Linotype" w:hAnsi="Palatino Linotype"/>
          <w:sz w:val="20"/>
          <w:lang w:val="en-US"/>
        </w:rPr>
      </w:pPr>
      <w:r w:rsidRPr="00F93ACB">
        <w:rPr>
          <w:rFonts w:ascii="Palatino Linotype" w:hAnsi="Palatino Linotype"/>
          <w:sz w:val="20"/>
          <w:lang w:val="en-US"/>
        </w:rPr>
        <w:t>For N</w:t>
      </w:r>
      <w:r w:rsidRPr="00F93ACB">
        <w:rPr>
          <w:rFonts w:ascii="Palatino Linotype" w:hAnsi="Palatino Linotype"/>
          <w:sz w:val="20"/>
          <w:vertAlign w:val="subscript"/>
          <w:lang w:val="en-US"/>
        </w:rPr>
        <w:t>Raman</w:t>
      </w:r>
      <w:r w:rsidRPr="00F93ACB">
        <w:rPr>
          <w:rFonts w:ascii="Palatino Linotype" w:hAnsi="Palatino Linotype"/>
          <w:sz w:val="20"/>
          <w:lang w:val="en-US"/>
        </w:rPr>
        <w:t xml:space="preserve"> determination, we assumed a uniform deposit of T4 on the Si wafer surface. We also assume each molecule occupies a volume of a rectangular prism (Figure S2). For the determination of the rectangular prism volume and area, </w:t>
      </w:r>
      <w:proofErr w:type="spellStart"/>
      <w:r w:rsidRPr="00F93ACB">
        <w:rPr>
          <w:rFonts w:ascii="Palatino Linotype" w:hAnsi="Palatino Linotype"/>
          <w:sz w:val="20"/>
          <w:lang w:val="en-US"/>
        </w:rPr>
        <w:t>ChemDraw</w:t>
      </w:r>
      <w:proofErr w:type="spellEnd"/>
      <w:r w:rsidRPr="00F93ACB">
        <w:rPr>
          <w:rFonts w:ascii="Palatino Linotype" w:hAnsi="Palatino Linotype"/>
          <w:sz w:val="20"/>
          <w:lang w:val="en-US"/>
        </w:rPr>
        <w:t xml:space="preserve"> ultra 12.0 software was used. A height (H) of 11.47 Å, a width (W) of 8.37 Å, and a length (L) of 8.06 Å, were obtained. The base area (</w:t>
      </w:r>
      <w:proofErr w:type="spellStart"/>
      <w:r w:rsidRPr="00F93ACB">
        <w:rPr>
          <w:rFonts w:ascii="Palatino Linotype" w:hAnsi="Palatino Linotype"/>
          <w:sz w:val="20"/>
          <w:lang w:val="en-US"/>
        </w:rPr>
        <w:t>LxW</w:t>
      </w:r>
      <w:proofErr w:type="spellEnd"/>
      <w:r w:rsidRPr="00F93ACB">
        <w:rPr>
          <w:rFonts w:ascii="Palatino Linotype" w:hAnsi="Palatino Linotype"/>
          <w:sz w:val="20"/>
          <w:lang w:val="en-US"/>
        </w:rPr>
        <w:t>) occupied by one T4 molecule in vertical position is 67.46 Å</w:t>
      </w:r>
      <w:r w:rsidRPr="00F93ACB">
        <w:rPr>
          <w:rFonts w:ascii="Palatino Linotype" w:hAnsi="Palatino Linotype"/>
          <w:sz w:val="20"/>
          <w:vertAlign w:val="superscript"/>
          <w:lang w:val="en-US"/>
        </w:rPr>
        <w:t>2</w:t>
      </w:r>
      <w:r w:rsidRPr="00F93ACB">
        <w:rPr>
          <w:rFonts w:ascii="Palatino Linotype" w:hAnsi="Palatino Linotype"/>
          <w:sz w:val="20"/>
          <w:lang w:val="en-US"/>
        </w:rPr>
        <w:t xml:space="preserve"> (0.67 nm</w:t>
      </w:r>
      <w:r w:rsidRPr="00F93ACB">
        <w:rPr>
          <w:rFonts w:ascii="Palatino Linotype" w:hAnsi="Palatino Linotype"/>
          <w:sz w:val="20"/>
          <w:vertAlign w:val="superscript"/>
          <w:lang w:val="en-US"/>
        </w:rPr>
        <w:t>2</w:t>
      </w:r>
      <w:r w:rsidRPr="00F93ACB">
        <w:rPr>
          <w:rFonts w:ascii="Palatino Linotype" w:hAnsi="Palatino Linotype"/>
          <w:sz w:val="20"/>
          <w:lang w:val="en-US"/>
        </w:rPr>
        <w:t xml:space="preserve">). </w:t>
      </w:r>
    </w:p>
    <w:p w:rsidR="00F93ACB" w:rsidRDefault="00F93ACB" w:rsidP="00F462E4">
      <w:pPr>
        <w:jc w:val="center"/>
        <w:rPr>
          <w:rFonts w:ascii="Palatino Linotype" w:hAnsi="Palatino Linotype"/>
          <w:sz w:val="20"/>
          <w:lang w:val="en-US"/>
        </w:rPr>
      </w:pPr>
      <w:r w:rsidRPr="00F93ACB">
        <w:rPr>
          <w:rFonts w:ascii="Palatino Linotype" w:hAnsi="Palatino Linotype"/>
          <w:noProof/>
          <w:sz w:val="20"/>
          <w:lang w:eastAsia="es-MX"/>
        </w:rPr>
        <w:drawing>
          <wp:inline distT="0" distB="0" distL="0" distR="0" wp14:anchorId="614F7F56" wp14:editId="41D4EE18">
            <wp:extent cx="824230" cy="153225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4.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24230" cy="1532255"/>
                    </a:xfrm>
                    <a:prstGeom prst="rect">
                      <a:avLst/>
                    </a:prstGeom>
                  </pic:spPr>
                </pic:pic>
              </a:graphicData>
            </a:graphic>
          </wp:inline>
        </w:drawing>
      </w:r>
    </w:p>
    <w:p w:rsidR="00F93ACB" w:rsidRPr="00F93ACB" w:rsidRDefault="00F93ACB" w:rsidP="000926DF">
      <w:pPr>
        <w:jc w:val="both"/>
        <w:rPr>
          <w:rFonts w:ascii="Palatino Linotype" w:hAnsi="Palatino Linotype"/>
          <w:iCs/>
          <w:sz w:val="20"/>
          <w:lang w:val="en-US"/>
        </w:rPr>
      </w:pPr>
      <w:r w:rsidRPr="00F93ACB">
        <w:rPr>
          <w:rFonts w:ascii="Palatino Linotype" w:hAnsi="Palatino Linotype"/>
          <w:b/>
          <w:sz w:val="20"/>
          <w:lang w:val="en-US"/>
        </w:rPr>
        <w:t>Figure S2.</w:t>
      </w:r>
      <w:r w:rsidRPr="00F93ACB">
        <w:rPr>
          <w:rFonts w:ascii="Palatino Linotype" w:hAnsi="Palatino Linotype"/>
          <w:sz w:val="20"/>
          <w:lang w:val="en-US"/>
        </w:rPr>
        <w:t xml:space="preserve"> Image of the Thyroxine molecule inside a rectangular prism, with H=11.47 Å, W=8.37 Å, and L=8.06 Å. The atoms of carbon, hydrogen, nitrogen, oxygen and iodine are distinguished by using the CPK coloration convention.   </w:t>
      </w:r>
    </w:p>
    <w:p w:rsidR="00F93ACB" w:rsidRPr="00F93ACB" w:rsidRDefault="00F93ACB" w:rsidP="000926DF">
      <w:pPr>
        <w:jc w:val="both"/>
        <w:rPr>
          <w:rFonts w:ascii="Palatino Linotype" w:hAnsi="Palatino Linotype"/>
          <w:sz w:val="20"/>
          <w:lang w:val="en-US"/>
        </w:rPr>
      </w:pPr>
      <w:r w:rsidRPr="00F93ACB">
        <w:rPr>
          <w:rFonts w:ascii="Palatino Linotype" w:hAnsi="Palatino Linotype" w:hint="eastAsia"/>
          <w:noProof/>
          <w:sz w:val="20"/>
          <w:lang w:eastAsia="es-MX"/>
        </w:rPr>
        <mc:AlternateContent>
          <mc:Choice Requires="wps">
            <w:drawing>
              <wp:anchor distT="0" distB="0" distL="114300" distR="114300" simplePos="0" relativeHeight="251663360" behindDoc="1" locked="1" layoutInCell="1" allowOverlap="0" wp14:anchorId="228E3C7F" wp14:editId="45B38E22">
                <wp:simplePos x="0" y="0"/>
                <wp:positionH relativeFrom="column">
                  <wp:posOffset>-78740</wp:posOffset>
                </wp:positionH>
                <wp:positionV relativeFrom="page">
                  <wp:posOffset>9457690</wp:posOffset>
                </wp:positionV>
                <wp:extent cx="6802755" cy="278765"/>
                <wp:effectExtent l="0" t="0" r="17145" b="6985"/>
                <wp:wrapTight wrapText="bothSides">
                  <wp:wrapPolygon edited="0">
                    <wp:start x="0" y="0"/>
                    <wp:lineTo x="0" y="20665"/>
                    <wp:lineTo x="21594" y="20665"/>
                    <wp:lineTo x="21594" y="0"/>
                    <wp:lineTo x="0" y="0"/>
                  </wp:wrapPolygon>
                </wp:wrapTight>
                <wp:docPr id="2" name="Text Box 19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02755"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6" w:space="0" w:color="auto"/>
                              </w:tblBorders>
                              <w:tblLook w:val="0000" w:firstRow="0" w:lastRow="0" w:firstColumn="0" w:lastColumn="0" w:noHBand="0" w:noVBand="0"/>
                            </w:tblPr>
                            <w:tblGrid>
                              <w:gridCol w:w="10681"/>
                            </w:tblGrid>
                            <w:tr w:rsidR="00F93ACB" w:rsidRPr="002D5975" w:rsidTr="004E6C1A">
                              <w:trPr>
                                <w:trHeight w:hRule="exact" w:val="113"/>
                              </w:trPr>
                              <w:tc>
                                <w:tcPr>
                                  <w:tcW w:w="10681" w:type="dxa"/>
                                  <w:tcBorders>
                                    <w:top w:val="nil"/>
                                    <w:bottom w:val="single" w:sz="4" w:space="0" w:color="auto"/>
                                  </w:tcBorders>
                                  <w:tcMar>
                                    <w:left w:w="0" w:type="dxa"/>
                                    <w:right w:w="0" w:type="dxa"/>
                                  </w:tcMar>
                                </w:tcPr>
                                <w:p w:rsidR="00F93ACB" w:rsidRPr="002D5975" w:rsidRDefault="00F93ACB">
                                  <w:pPr>
                                    <w:spacing w:after="0" w:line="240" w:lineRule="exact"/>
                                    <w:rPr>
                                      <w:sz w:val="17"/>
                                      <w:szCs w:val="17"/>
                                    </w:rPr>
                                  </w:pPr>
                                </w:p>
                              </w:tc>
                            </w:tr>
                            <w:tr w:rsidR="00F93ACB" w:rsidRPr="0089583F" w:rsidTr="003F32F8">
                              <w:trPr>
                                <w:trHeight w:val="283"/>
                              </w:trPr>
                              <w:tc>
                                <w:tcPr>
                                  <w:tcW w:w="10681" w:type="dxa"/>
                                  <w:tcMar>
                                    <w:left w:w="0" w:type="dxa"/>
                                    <w:right w:w="0" w:type="dxa"/>
                                  </w:tcMar>
                                </w:tcPr>
                                <w:p w:rsidR="00F93ACB" w:rsidRPr="009B6979" w:rsidRDefault="00F93ACB" w:rsidP="0089583F">
                                  <w:pPr>
                                    <w:spacing w:beforeLines="15" w:before="36" w:afterLines="10" w:after="24" w:line="200" w:lineRule="exact"/>
                                    <w:rPr>
                                      <w:color w:val="3B659D"/>
                                      <w:sz w:val="17"/>
                                      <w:szCs w:val="17"/>
                                    </w:rPr>
                                  </w:pPr>
                                  <w:proofErr w:type="spellStart"/>
                                  <w:r w:rsidRPr="009B6979">
                                    <w:rPr>
                                      <w:sz w:val="17"/>
                                      <w:szCs w:val="17"/>
                                    </w:rPr>
                                    <w:t>Address</w:t>
                                  </w:r>
                                  <w:proofErr w:type="spellEnd"/>
                                  <w:r w:rsidRPr="009B6979">
                                    <w:rPr>
                                      <w:sz w:val="17"/>
                                      <w:szCs w:val="17"/>
                                    </w:rPr>
                                    <w:t xml:space="preserve"> </w:t>
                                  </w:r>
                                  <w:proofErr w:type="spellStart"/>
                                  <w:r w:rsidRPr="009B6979">
                                    <w:rPr>
                                      <w:sz w:val="17"/>
                                      <w:szCs w:val="17"/>
                                    </w:rPr>
                                    <w:t>correspondence</w:t>
                                  </w:r>
                                  <w:proofErr w:type="spellEnd"/>
                                  <w:r w:rsidRPr="009B6979">
                                    <w:rPr>
                                      <w:sz w:val="17"/>
                                      <w:szCs w:val="17"/>
                                    </w:rPr>
                                    <w:t xml:space="preserve"> to </w:t>
                                  </w:r>
                                  <w:r>
                                    <w:rPr>
                                      <w:color w:val="3B659D"/>
                                      <w:sz w:val="17"/>
                                      <w:szCs w:val="17"/>
                                    </w:rPr>
                                    <w:t>Enrique Sánchez Mora, esanchez@ifuap.buap.mx</w:t>
                                  </w:r>
                                </w:p>
                              </w:tc>
                            </w:tr>
                          </w:tbl>
                          <w:p w:rsidR="00F93ACB" w:rsidRPr="009B6979" w:rsidRDefault="00F93ACB" w:rsidP="00F93ACB">
                            <w:pPr>
                              <w:rPr>
                                <w:sz w:val="17"/>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8E3C7F" id="_x0000_t202" coordsize="21600,21600" o:spt="202" path="m,l,21600r21600,l21600,xe">
                <v:stroke joinstyle="miter"/>
                <v:path gradientshapeok="t" o:connecttype="rect"/>
              </v:shapetype>
              <v:shape id="Text Box 1911" o:spid="_x0000_s1026" type="#_x0000_t202" style="position:absolute;left:0;text-align:left;margin-left:-6.2pt;margin-top:744.7pt;width:535.65pt;height:21.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0ZmoAIAAJU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" o:allowoverlap="f" filled="f" stroked="f">
                <v:path arrowok="t"/>
                <v:textbox inset="0,0,0,0">
                  <w:txbxContent>
                    <w:tbl>
                      <w:tblPr>
                        <w:tblW w:w="0" w:type="auto"/>
                        <w:tblBorders>
                          <w:top w:val="single" w:sz="6" w:space="0" w:color="auto"/>
                        </w:tblBorders>
                        <w:tblLook w:val="0000" w:firstRow="0" w:lastRow="0" w:firstColumn="0" w:lastColumn="0" w:noHBand="0" w:noVBand="0"/>
                      </w:tblPr>
                      <w:tblGrid>
                        <w:gridCol w:w="10681"/>
                      </w:tblGrid>
                      <w:tr w:rsidR="00F93ACB" w:rsidRPr="002D5975" w:rsidTr="004E6C1A">
                        <w:trPr>
                          <w:trHeight w:hRule="exact" w:val="113"/>
                        </w:trPr>
                        <w:tc>
                          <w:tcPr>
                            <w:tcW w:w="10681" w:type="dxa"/>
                            <w:tcBorders>
                              <w:top w:val="nil"/>
                              <w:bottom w:val="single" w:sz="4" w:space="0" w:color="auto"/>
                            </w:tcBorders>
                            <w:tcMar>
                              <w:left w:w="0" w:type="dxa"/>
                              <w:right w:w="0" w:type="dxa"/>
                            </w:tcMar>
                          </w:tcPr>
                          <w:p w:rsidR="00F93ACB" w:rsidRPr="002D5975" w:rsidRDefault="00F93ACB">
                            <w:pPr>
                              <w:spacing w:after="0" w:line="240" w:lineRule="exact"/>
                              <w:rPr>
                                <w:sz w:val="17"/>
                                <w:szCs w:val="17"/>
                              </w:rPr>
                            </w:pPr>
                          </w:p>
                        </w:tc>
                      </w:tr>
                      <w:tr w:rsidR="00F93ACB" w:rsidRPr="0089583F" w:rsidTr="003F32F8">
                        <w:trPr>
                          <w:trHeight w:val="283"/>
                        </w:trPr>
                        <w:tc>
                          <w:tcPr>
                            <w:tcW w:w="10681" w:type="dxa"/>
                            <w:tcMar>
                              <w:left w:w="0" w:type="dxa"/>
                              <w:right w:w="0" w:type="dxa"/>
                            </w:tcMar>
                          </w:tcPr>
                          <w:p w:rsidR="00F93ACB" w:rsidRPr="009B6979" w:rsidRDefault="00F93ACB" w:rsidP="0089583F">
                            <w:pPr>
                              <w:spacing w:beforeLines="15" w:before="36" w:afterLines="10" w:after="24" w:line="200" w:lineRule="exact"/>
                              <w:rPr>
                                <w:color w:val="3B659D"/>
                                <w:sz w:val="17"/>
                                <w:szCs w:val="17"/>
                              </w:rPr>
                            </w:pPr>
                            <w:proofErr w:type="spellStart"/>
                            <w:r w:rsidRPr="009B6979">
                              <w:rPr>
                                <w:sz w:val="17"/>
                                <w:szCs w:val="17"/>
                              </w:rPr>
                              <w:t>Address</w:t>
                            </w:r>
                            <w:proofErr w:type="spellEnd"/>
                            <w:r w:rsidRPr="009B6979">
                              <w:rPr>
                                <w:sz w:val="17"/>
                                <w:szCs w:val="17"/>
                              </w:rPr>
                              <w:t xml:space="preserve"> </w:t>
                            </w:r>
                            <w:proofErr w:type="spellStart"/>
                            <w:r w:rsidRPr="009B6979">
                              <w:rPr>
                                <w:sz w:val="17"/>
                                <w:szCs w:val="17"/>
                              </w:rPr>
                              <w:t>correspondence</w:t>
                            </w:r>
                            <w:proofErr w:type="spellEnd"/>
                            <w:r w:rsidRPr="009B6979">
                              <w:rPr>
                                <w:sz w:val="17"/>
                                <w:szCs w:val="17"/>
                              </w:rPr>
                              <w:t xml:space="preserve"> to </w:t>
                            </w:r>
                            <w:r>
                              <w:rPr>
                                <w:color w:val="3B659D"/>
                                <w:sz w:val="17"/>
                                <w:szCs w:val="17"/>
                              </w:rPr>
                              <w:t>Enrique Sánchez Mora, esanchez@ifuap.buap.mx</w:t>
                            </w:r>
                          </w:p>
                        </w:tc>
                      </w:tr>
                    </w:tbl>
                    <w:p w:rsidR="00F93ACB" w:rsidRPr="009B6979" w:rsidRDefault="00F93ACB" w:rsidP="00F93ACB">
                      <w:pPr>
                        <w:rPr>
                          <w:sz w:val="17"/>
                          <w:szCs w:val="17"/>
                        </w:rPr>
                      </w:pPr>
                    </w:p>
                  </w:txbxContent>
                </v:textbox>
                <w10:wrap type="tight" anchory="page"/>
                <w10:anchorlock/>
              </v:shape>
            </w:pict>
          </mc:Fallback>
        </mc:AlternateContent>
      </w:r>
    </w:p>
    <w:p w:rsidR="00F93ACB" w:rsidRPr="00F93ACB" w:rsidRDefault="00F93ACB" w:rsidP="000926DF">
      <w:pPr>
        <w:jc w:val="both"/>
        <w:rPr>
          <w:rFonts w:ascii="Palatino Linotype" w:hAnsi="Palatino Linotype"/>
          <w:sz w:val="20"/>
          <w:lang w:val="en-US"/>
        </w:rPr>
      </w:pPr>
    </w:p>
    <w:p w:rsidR="00F93ACB" w:rsidRPr="00F93ACB" w:rsidRDefault="00F93ACB" w:rsidP="000926DF">
      <w:pPr>
        <w:jc w:val="both"/>
        <w:rPr>
          <w:rFonts w:ascii="Palatino Linotype" w:hAnsi="Palatino Linotype"/>
          <w:sz w:val="20"/>
          <w:lang w:val="en-US"/>
        </w:rPr>
      </w:pPr>
      <w:r w:rsidRPr="00F93ACB">
        <w:rPr>
          <w:rFonts w:ascii="Palatino Linotype" w:hAnsi="Palatino Linotype"/>
          <w:sz w:val="20"/>
          <w:lang w:val="en-US"/>
        </w:rPr>
        <w:lastRenderedPageBreak/>
        <w:t>The Si wafer area is 1 cm</w:t>
      </w:r>
      <w:r w:rsidRPr="00F93ACB">
        <w:rPr>
          <w:rFonts w:ascii="Palatino Linotype" w:hAnsi="Palatino Linotype"/>
          <w:sz w:val="20"/>
          <w:vertAlign w:val="superscript"/>
          <w:lang w:val="en-US"/>
        </w:rPr>
        <w:t>2</w:t>
      </w:r>
      <w:r w:rsidRPr="00F93ACB">
        <w:rPr>
          <w:rFonts w:ascii="Palatino Linotype" w:hAnsi="Palatino Linotype"/>
          <w:sz w:val="20"/>
          <w:lang w:val="en-US"/>
        </w:rPr>
        <w:t xml:space="preserve"> (1x10</w:t>
      </w:r>
      <w:r w:rsidRPr="00F93ACB">
        <w:rPr>
          <w:rFonts w:ascii="Palatino Linotype" w:hAnsi="Palatino Linotype"/>
          <w:sz w:val="20"/>
          <w:vertAlign w:val="superscript"/>
          <w:lang w:val="en-US"/>
        </w:rPr>
        <w:t>14</w:t>
      </w:r>
      <w:r w:rsidRPr="00F93ACB">
        <w:rPr>
          <w:rFonts w:ascii="Palatino Linotype" w:hAnsi="Palatino Linotype"/>
          <w:sz w:val="20"/>
          <w:lang w:val="en-US"/>
        </w:rPr>
        <w:t>nm</w:t>
      </w:r>
      <w:r w:rsidRPr="00F93ACB">
        <w:rPr>
          <w:rFonts w:ascii="Palatino Linotype" w:hAnsi="Palatino Linotype"/>
          <w:sz w:val="20"/>
          <w:vertAlign w:val="superscript"/>
          <w:lang w:val="en-US"/>
        </w:rPr>
        <w:t>2</w:t>
      </w:r>
      <w:r w:rsidRPr="00F93ACB">
        <w:rPr>
          <w:rFonts w:ascii="Palatino Linotype" w:hAnsi="Palatino Linotype"/>
          <w:sz w:val="20"/>
          <w:lang w:val="en-US"/>
        </w:rPr>
        <w:t>), therefore the maximum amount of molecules in the vertical position that covers the area is 1.48x10</w:t>
      </w:r>
      <w:r w:rsidRPr="00F93ACB">
        <w:rPr>
          <w:rFonts w:ascii="Palatino Linotype" w:hAnsi="Palatino Linotype"/>
          <w:sz w:val="20"/>
          <w:vertAlign w:val="superscript"/>
          <w:lang w:val="en-US"/>
        </w:rPr>
        <w:t>14</w:t>
      </w:r>
      <w:r w:rsidRPr="00F93ACB">
        <w:rPr>
          <w:rFonts w:ascii="Palatino Linotype" w:hAnsi="Palatino Linotype"/>
          <w:sz w:val="20"/>
          <w:lang w:val="en-US"/>
        </w:rPr>
        <w:t>. In table S1 we show the used concentrations of T4 and the number of molecules in each T4 solution concentration. As the last value is larger than 1.48x10</w:t>
      </w:r>
      <w:r w:rsidRPr="00F93ACB">
        <w:rPr>
          <w:rFonts w:ascii="Palatino Linotype" w:hAnsi="Palatino Linotype"/>
          <w:sz w:val="20"/>
          <w:vertAlign w:val="superscript"/>
          <w:lang w:val="en-US"/>
        </w:rPr>
        <w:t>14</w:t>
      </w:r>
      <w:r w:rsidRPr="00F93ACB">
        <w:rPr>
          <w:rFonts w:ascii="Palatino Linotype" w:hAnsi="Palatino Linotype"/>
          <w:sz w:val="20"/>
          <w:lang w:val="en-US"/>
        </w:rPr>
        <w:t>, we assume that the molecules are arranged in multi-layers (see column 3) with a total thickness shown in column 4. The number of layers for each concentration was estimated dividing the values of column 2 by of 1.48x10</w:t>
      </w:r>
      <w:r w:rsidRPr="00F93ACB">
        <w:rPr>
          <w:rFonts w:ascii="Palatino Linotype" w:hAnsi="Palatino Linotype"/>
          <w:sz w:val="20"/>
          <w:vertAlign w:val="superscript"/>
          <w:lang w:val="en-US"/>
        </w:rPr>
        <w:t>14</w:t>
      </w:r>
      <w:r w:rsidRPr="00F93ACB">
        <w:rPr>
          <w:rFonts w:ascii="Palatino Linotype" w:hAnsi="Palatino Linotype"/>
          <w:sz w:val="20"/>
          <w:lang w:val="en-US"/>
        </w:rPr>
        <w:t>. The thickness was calculated by the multiplication of the value column 3 by height of one molecule (1.147 nm). We only consider the excited molecules of T4 in the laser spot area (12.5X10</w:t>
      </w:r>
      <w:r w:rsidRPr="00F93ACB">
        <w:rPr>
          <w:rFonts w:ascii="Palatino Linotype" w:hAnsi="Palatino Linotype"/>
          <w:sz w:val="20"/>
          <w:vertAlign w:val="superscript"/>
          <w:lang w:val="en-US"/>
        </w:rPr>
        <w:t>6</w:t>
      </w:r>
      <w:r w:rsidRPr="00F93ACB">
        <w:rPr>
          <w:rFonts w:ascii="Palatino Linotype" w:hAnsi="Palatino Linotype"/>
          <w:sz w:val="20"/>
          <w:lang w:val="en-US"/>
        </w:rPr>
        <w:t xml:space="preserve"> nm</w:t>
      </w:r>
      <w:r w:rsidRPr="00F93ACB">
        <w:rPr>
          <w:rFonts w:ascii="Palatino Linotype" w:hAnsi="Palatino Linotype"/>
          <w:sz w:val="20"/>
          <w:vertAlign w:val="superscript"/>
          <w:lang w:val="en-US"/>
        </w:rPr>
        <w:t>2</w:t>
      </w:r>
      <w:r w:rsidRPr="00F93ACB">
        <w:rPr>
          <w:rFonts w:ascii="Palatino Linotype" w:hAnsi="Palatino Linotype"/>
          <w:sz w:val="20"/>
          <w:lang w:val="en-US"/>
        </w:rPr>
        <w:t>). Finally, the N</w:t>
      </w:r>
      <w:r w:rsidRPr="00F93ACB">
        <w:rPr>
          <w:rFonts w:ascii="Palatino Linotype" w:hAnsi="Palatino Linotype"/>
          <w:sz w:val="20"/>
          <w:vertAlign w:val="subscript"/>
          <w:lang w:val="en-US"/>
        </w:rPr>
        <w:t>Raman</w:t>
      </w:r>
      <w:r w:rsidRPr="00F93ACB">
        <w:rPr>
          <w:rFonts w:ascii="Palatino Linotype" w:hAnsi="Palatino Linotype"/>
          <w:sz w:val="20"/>
          <w:lang w:val="en-US"/>
        </w:rPr>
        <w:t xml:space="preserve"> value was calculated by using the next expression:  </w:t>
      </w:r>
    </w:p>
    <w:p w:rsidR="00F93ACB" w:rsidRPr="00F93ACB" w:rsidRDefault="00F462E4" w:rsidP="000926DF">
      <w:pPr>
        <w:jc w:val="both"/>
        <w:rPr>
          <w:rFonts w:ascii="Palatino Linotype" w:hAnsi="Palatino Linotype"/>
          <w:sz w:val="20"/>
        </w:rPr>
      </w:pPr>
      <m:oMathPara>
        <m:oMath>
          <m:sSub>
            <m:sSubPr>
              <m:ctrlPr>
                <w:rPr>
                  <w:rFonts w:ascii="Cambria Math" w:hAnsi="Cambria Math"/>
                  <w:sz w:val="20"/>
                  <w:lang w:val="en-US"/>
                </w:rPr>
              </m:ctrlPr>
            </m:sSubPr>
            <m:e>
              <m:r>
                <m:rPr>
                  <m:sty m:val="p"/>
                </m:rPr>
                <w:rPr>
                  <w:rFonts w:ascii="Cambria Math" w:hAnsi="Cambria Math"/>
                  <w:sz w:val="20"/>
                </w:rPr>
                <m:t>N</m:t>
              </m:r>
            </m:e>
            <m:sub>
              <m:r>
                <m:rPr>
                  <m:sty m:val="p"/>
                </m:rPr>
                <w:rPr>
                  <w:rFonts w:ascii="Cambria Math" w:hAnsi="Cambria Math"/>
                  <w:sz w:val="20"/>
                </w:rPr>
                <m:t>Raman</m:t>
              </m:r>
            </m:sub>
          </m:sSub>
          <m:r>
            <m:rPr>
              <m:sty m:val="p"/>
            </m:rPr>
            <w:rPr>
              <w:rFonts w:ascii="Cambria Math" w:hAnsi="Cambria Math"/>
              <w:sz w:val="20"/>
            </w:rPr>
            <m:t xml:space="preserve">= </m:t>
          </m:r>
          <m:f>
            <m:fPr>
              <m:ctrlPr>
                <w:rPr>
                  <w:rFonts w:ascii="Cambria Math" w:hAnsi="Cambria Math"/>
                  <w:sz w:val="20"/>
                  <w:lang w:val="en-US"/>
                </w:rPr>
              </m:ctrlPr>
            </m:fPr>
            <m:num>
              <m:r>
                <m:rPr>
                  <m:sty m:val="p"/>
                </m:rPr>
                <w:rPr>
                  <w:rFonts w:ascii="Cambria Math" w:hAnsi="Cambria Math"/>
                  <w:sz w:val="20"/>
                </w:rPr>
                <m:t>(Total molecules of T4 at a "</m:t>
              </m:r>
              <m:r>
                <m:rPr>
                  <m:nor/>
                </m:rPr>
                <w:rPr>
                  <w:rFonts w:ascii="Palatino Linotype" w:hAnsi="Palatino Linotype"/>
                  <w:sz w:val="20"/>
                </w:rPr>
                <m:t>Y"</m:t>
              </m:r>
              <m:r>
                <m:rPr>
                  <m:sty m:val="p"/>
                </m:rPr>
                <w:rPr>
                  <w:rFonts w:ascii="Cambria Math" w:hAnsi="Cambria Math"/>
                  <w:sz w:val="20"/>
                </w:rPr>
                <m:t xml:space="preserve"> concentration)(laser spot area ) </m:t>
              </m:r>
            </m:num>
            <m:den>
              <m:r>
                <m:rPr>
                  <m:sty m:val="p"/>
                </m:rPr>
                <w:rPr>
                  <w:rFonts w:ascii="Cambria Math" w:hAnsi="Cambria Math"/>
                  <w:sz w:val="20"/>
                </w:rPr>
                <m:t xml:space="preserve">area of Si wafer </m:t>
              </m:r>
            </m:den>
          </m:f>
        </m:oMath>
      </m:oMathPara>
    </w:p>
    <w:p w:rsidR="00F93ACB" w:rsidRPr="00F93ACB" w:rsidRDefault="00F93ACB" w:rsidP="000926DF">
      <w:pPr>
        <w:jc w:val="both"/>
        <w:rPr>
          <w:rFonts w:ascii="Palatino Linotype" w:hAnsi="Palatino Linotype"/>
          <w:sz w:val="20"/>
          <w:lang w:val="en-US"/>
        </w:rPr>
      </w:pPr>
      <w:r w:rsidRPr="00F93ACB">
        <w:rPr>
          <w:rFonts w:ascii="Palatino Linotype" w:hAnsi="Palatino Linotype"/>
          <w:b/>
          <w:sz w:val="20"/>
          <w:lang w:val="en-US"/>
        </w:rPr>
        <w:t xml:space="preserve">Table S1. </w:t>
      </w:r>
      <w:r w:rsidRPr="00F93ACB">
        <w:rPr>
          <w:rFonts w:ascii="Palatino Linotype" w:hAnsi="Palatino Linotype"/>
          <w:sz w:val="20"/>
          <w:lang w:val="en-US"/>
        </w:rPr>
        <w:t>Molecule concentration of T4, total number of molecules in each T4 solution concentration, number of molecule-layers on the Si wafer, and total thickness of the multi-layer array, and N</w:t>
      </w:r>
      <w:r w:rsidRPr="00F93ACB">
        <w:rPr>
          <w:rFonts w:ascii="Palatino Linotype" w:hAnsi="Palatino Linotype"/>
          <w:sz w:val="20"/>
          <w:vertAlign w:val="subscript"/>
          <w:lang w:val="en-US"/>
        </w:rPr>
        <w:t>Raman</w:t>
      </w:r>
      <w:r w:rsidRPr="00F93ACB">
        <w:rPr>
          <w:rFonts w:ascii="Palatino Linotype" w:hAnsi="Palatino Linotype"/>
          <w:sz w:val="20"/>
          <w:lang w:val="en-US"/>
        </w:rPr>
        <w:t xml:space="preserve"> value.</w:t>
      </w:r>
    </w:p>
    <w:tbl>
      <w:tblPr>
        <w:tblStyle w:val="Tablanormal3"/>
        <w:tblW w:w="0" w:type="auto"/>
        <w:jc w:val="center"/>
        <w:tblLook w:val="04A0" w:firstRow="1" w:lastRow="0" w:firstColumn="1" w:lastColumn="0" w:noHBand="0" w:noVBand="1"/>
      </w:tblPr>
      <w:tblGrid>
        <w:gridCol w:w="1889"/>
        <w:gridCol w:w="2205"/>
        <w:gridCol w:w="2225"/>
        <w:gridCol w:w="1478"/>
        <w:gridCol w:w="1041"/>
      </w:tblGrid>
      <w:tr w:rsidR="00F93ACB" w:rsidRPr="00F93ACB" w:rsidTr="00F93ACB">
        <w:trPr>
          <w:cnfStyle w:val="100000000000" w:firstRow="1" w:lastRow="0" w:firstColumn="0" w:lastColumn="0" w:oddVBand="0" w:evenVBand="0" w:oddHBand="0" w:evenHBand="0" w:firstRowFirstColumn="0" w:firstRowLastColumn="0" w:lastRowFirstColumn="0" w:lastRowLastColumn="0"/>
          <w:trHeight w:val="119"/>
          <w:jc w:val="center"/>
        </w:trPr>
        <w:tc>
          <w:tcPr>
            <w:cnfStyle w:val="001000000100" w:firstRow="0" w:lastRow="0" w:firstColumn="1" w:lastColumn="0" w:oddVBand="0" w:evenVBand="0" w:oddHBand="0" w:evenHBand="0" w:firstRowFirstColumn="1" w:firstRowLastColumn="0" w:lastRowFirstColumn="0" w:lastRowLastColumn="0"/>
            <w:tcW w:w="0" w:type="auto"/>
            <w:tcBorders>
              <w:top w:val="single" w:sz="18" w:space="0" w:color="auto"/>
              <w:bottom w:val="single" w:sz="18" w:space="0" w:color="auto"/>
            </w:tcBorders>
            <w:vAlign w:val="center"/>
          </w:tcPr>
          <w:p w:rsidR="00F93ACB" w:rsidRPr="00F93ACB" w:rsidRDefault="00F93ACB" w:rsidP="000926DF">
            <w:pPr>
              <w:spacing w:after="160" w:line="259" w:lineRule="auto"/>
              <w:jc w:val="both"/>
              <w:rPr>
                <w:rFonts w:ascii="Palatino Linotype" w:hAnsi="Palatino Linotype"/>
                <w:sz w:val="20"/>
                <w:lang w:val="en-US"/>
              </w:rPr>
            </w:pPr>
            <w:r w:rsidRPr="00F93ACB">
              <w:rPr>
                <w:rFonts w:ascii="Palatino Linotype" w:hAnsi="Palatino Linotype"/>
                <w:caps w:val="0"/>
                <w:sz w:val="20"/>
                <w:lang w:val="en-US"/>
              </w:rPr>
              <w:t>Concentration (mm)</w:t>
            </w:r>
          </w:p>
        </w:tc>
        <w:tc>
          <w:tcPr>
            <w:tcW w:w="0" w:type="auto"/>
            <w:tcBorders>
              <w:top w:val="single" w:sz="18" w:space="0" w:color="auto"/>
              <w:bottom w:val="single" w:sz="18" w:space="0" w:color="auto"/>
            </w:tcBorders>
            <w:vAlign w:val="center"/>
          </w:tcPr>
          <w:p w:rsidR="00F93ACB" w:rsidRPr="00F93ACB" w:rsidRDefault="00F93ACB" w:rsidP="000926DF">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Palatino Linotype" w:hAnsi="Palatino Linotype"/>
                <w:sz w:val="20"/>
                <w:lang w:val="en-US"/>
              </w:rPr>
            </w:pPr>
            <w:r w:rsidRPr="00F93ACB">
              <w:rPr>
                <w:rFonts w:ascii="Palatino Linotype" w:hAnsi="Palatino Linotype"/>
                <w:caps w:val="0"/>
                <w:sz w:val="20"/>
                <w:lang w:val="en-US"/>
              </w:rPr>
              <w:t>Total number of molecules</w:t>
            </w:r>
          </w:p>
        </w:tc>
        <w:tc>
          <w:tcPr>
            <w:tcW w:w="0" w:type="auto"/>
            <w:tcBorders>
              <w:top w:val="single" w:sz="18" w:space="0" w:color="auto"/>
              <w:bottom w:val="single" w:sz="18" w:space="0" w:color="auto"/>
            </w:tcBorders>
            <w:vAlign w:val="center"/>
          </w:tcPr>
          <w:p w:rsidR="00F93ACB" w:rsidRPr="00F93ACB" w:rsidRDefault="00F93ACB" w:rsidP="000926DF">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Palatino Linotype" w:hAnsi="Palatino Linotype"/>
                <w:sz w:val="20"/>
                <w:lang w:val="en-US"/>
              </w:rPr>
            </w:pPr>
            <w:r w:rsidRPr="00F93ACB">
              <w:rPr>
                <w:rFonts w:ascii="Palatino Linotype" w:hAnsi="Palatino Linotype"/>
                <w:caps w:val="0"/>
                <w:sz w:val="20"/>
                <w:lang w:val="en-US"/>
              </w:rPr>
              <w:t>Number of molecule-layers</w:t>
            </w:r>
          </w:p>
        </w:tc>
        <w:tc>
          <w:tcPr>
            <w:tcW w:w="1478" w:type="dxa"/>
            <w:tcBorders>
              <w:top w:val="single" w:sz="18" w:space="0" w:color="auto"/>
              <w:bottom w:val="single" w:sz="18" w:space="0" w:color="auto"/>
            </w:tcBorders>
            <w:vAlign w:val="center"/>
          </w:tcPr>
          <w:p w:rsidR="00F93ACB" w:rsidRPr="00F93ACB" w:rsidRDefault="00F93ACB" w:rsidP="000926DF">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Palatino Linotype" w:hAnsi="Palatino Linotype"/>
                <w:sz w:val="20"/>
                <w:lang w:val="en-US"/>
              </w:rPr>
            </w:pPr>
            <w:r w:rsidRPr="00F93ACB">
              <w:rPr>
                <w:rFonts w:ascii="Palatino Linotype" w:hAnsi="Palatino Linotype"/>
                <w:sz w:val="20"/>
                <w:lang w:val="en-US"/>
              </w:rPr>
              <w:t>T</w:t>
            </w:r>
            <w:r w:rsidRPr="00F93ACB">
              <w:rPr>
                <w:rFonts w:ascii="Palatino Linotype" w:hAnsi="Palatino Linotype"/>
                <w:caps w:val="0"/>
                <w:sz w:val="20"/>
                <w:lang w:val="en-US"/>
              </w:rPr>
              <w:t>hickness (nm)</w:t>
            </w:r>
          </w:p>
        </w:tc>
        <w:tc>
          <w:tcPr>
            <w:tcW w:w="1041" w:type="dxa"/>
            <w:tcBorders>
              <w:top w:val="single" w:sz="18" w:space="0" w:color="auto"/>
              <w:bottom w:val="single" w:sz="18" w:space="0" w:color="auto"/>
            </w:tcBorders>
            <w:vAlign w:val="center"/>
          </w:tcPr>
          <w:p w:rsidR="00F93ACB" w:rsidRPr="00F93ACB" w:rsidRDefault="00F93ACB" w:rsidP="000926DF">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Palatino Linotype" w:hAnsi="Palatino Linotype"/>
                <w:sz w:val="20"/>
                <w:vertAlign w:val="subscript"/>
                <w:lang w:val="en-US"/>
              </w:rPr>
            </w:pPr>
            <w:r w:rsidRPr="00F93ACB">
              <w:rPr>
                <w:rFonts w:ascii="Palatino Linotype" w:hAnsi="Palatino Linotype"/>
                <w:sz w:val="20"/>
                <w:lang w:val="en-US"/>
              </w:rPr>
              <w:t>N</w:t>
            </w:r>
            <w:r>
              <w:rPr>
                <w:rFonts w:ascii="Palatino Linotype" w:hAnsi="Palatino Linotype"/>
                <w:caps w:val="0"/>
                <w:sz w:val="20"/>
                <w:vertAlign w:val="subscript"/>
                <w:lang w:val="en-US"/>
              </w:rPr>
              <w:t>R</w:t>
            </w:r>
            <w:r w:rsidRPr="00F93ACB">
              <w:rPr>
                <w:rFonts w:ascii="Palatino Linotype" w:hAnsi="Palatino Linotype"/>
                <w:caps w:val="0"/>
                <w:sz w:val="20"/>
                <w:vertAlign w:val="subscript"/>
                <w:lang w:val="en-US"/>
              </w:rPr>
              <w:t>aman</w:t>
            </w:r>
          </w:p>
        </w:tc>
      </w:tr>
      <w:tr w:rsidR="00F93ACB" w:rsidRPr="00F93ACB" w:rsidTr="00F93AC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18" w:space="0" w:color="auto"/>
              <w:right w:val="none" w:sz="0" w:space="0" w:color="auto"/>
            </w:tcBorders>
            <w:shd w:val="clear" w:color="auto" w:fill="auto"/>
            <w:vAlign w:val="center"/>
            <w:hideMark/>
          </w:tcPr>
          <w:p w:rsidR="00F93ACB" w:rsidRPr="00F93ACB" w:rsidRDefault="00F93ACB" w:rsidP="000926DF">
            <w:pPr>
              <w:spacing w:after="160" w:line="259" w:lineRule="auto"/>
              <w:jc w:val="both"/>
              <w:rPr>
                <w:rFonts w:ascii="Palatino Linotype" w:hAnsi="Palatino Linotype"/>
                <w:b w:val="0"/>
                <w:sz w:val="20"/>
              </w:rPr>
            </w:pPr>
            <w:r w:rsidRPr="00F93ACB">
              <w:rPr>
                <w:rFonts w:ascii="Palatino Linotype" w:hAnsi="Palatino Linotype"/>
                <w:b w:val="0"/>
                <w:sz w:val="20"/>
              </w:rPr>
              <w:t>1.00</w:t>
            </w:r>
          </w:p>
        </w:tc>
        <w:tc>
          <w:tcPr>
            <w:tcW w:w="0" w:type="auto"/>
            <w:tcBorders>
              <w:top w:val="single" w:sz="18" w:space="0" w:color="auto"/>
              <w:left w:val="nil"/>
            </w:tcBorders>
            <w:shd w:val="clear" w:color="auto" w:fill="auto"/>
            <w:vAlign w:val="center"/>
          </w:tcPr>
          <w:p w:rsidR="00F93ACB" w:rsidRPr="00F93ACB" w:rsidRDefault="00F93ACB" w:rsidP="000926DF">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F93ACB">
              <w:rPr>
                <w:rFonts w:ascii="Palatino Linotype" w:hAnsi="Palatino Linotype"/>
                <w:sz w:val="20"/>
              </w:rPr>
              <w:t>3.010x10</w:t>
            </w:r>
            <w:r w:rsidRPr="00F93ACB">
              <w:rPr>
                <w:rFonts w:ascii="Palatino Linotype" w:hAnsi="Palatino Linotype"/>
                <w:sz w:val="20"/>
                <w:vertAlign w:val="superscript"/>
              </w:rPr>
              <w:t>16</w:t>
            </w:r>
          </w:p>
        </w:tc>
        <w:tc>
          <w:tcPr>
            <w:tcW w:w="0" w:type="auto"/>
            <w:tcBorders>
              <w:top w:val="single" w:sz="18" w:space="0" w:color="auto"/>
            </w:tcBorders>
            <w:shd w:val="clear" w:color="auto" w:fill="auto"/>
            <w:vAlign w:val="center"/>
          </w:tcPr>
          <w:p w:rsidR="00F93ACB" w:rsidRPr="00F93ACB" w:rsidRDefault="00F93ACB" w:rsidP="000926DF">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F93ACB">
              <w:rPr>
                <w:rFonts w:ascii="Palatino Linotype" w:hAnsi="Palatino Linotype"/>
                <w:sz w:val="20"/>
              </w:rPr>
              <w:t>203</w:t>
            </w:r>
          </w:p>
        </w:tc>
        <w:tc>
          <w:tcPr>
            <w:tcW w:w="1478" w:type="dxa"/>
            <w:tcBorders>
              <w:top w:val="single" w:sz="18" w:space="0" w:color="auto"/>
            </w:tcBorders>
            <w:shd w:val="clear" w:color="auto" w:fill="auto"/>
            <w:vAlign w:val="center"/>
          </w:tcPr>
          <w:p w:rsidR="00F93ACB" w:rsidRPr="00F93ACB" w:rsidRDefault="00F93ACB" w:rsidP="000926DF">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F93ACB">
              <w:rPr>
                <w:rFonts w:ascii="Palatino Linotype" w:hAnsi="Palatino Linotype"/>
                <w:sz w:val="20"/>
              </w:rPr>
              <w:t>233.7</w:t>
            </w:r>
          </w:p>
        </w:tc>
        <w:tc>
          <w:tcPr>
            <w:tcW w:w="1041" w:type="dxa"/>
            <w:tcBorders>
              <w:top w:val="single" w:sz="18" w:space="0" w:color="auto"/>
            </w:tcBorders>
            <w:shd w:val="clear" w:color="auto" w:fill="auto"/>
            <w:vAlign w:val="center"/>
          </w:tcPr>
          <w:p w:rsidR="00F93ACB" w:rsidRPr="00F93ACB" w:rsidRDefault="00F93ACB" w:rsidP="000926DF">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F93ACB">
              <w:rPr>
                <w:rFonts w:ascii="Palatino Linotype" w:hAnsi="Palatino Linotype"/>
                <w:sz w:val="20"/>
              </w:rPr>
              <w:t>3.78x10</w:t>
            </w:r>
            <w:r w:rsidRPr="00F93ACB">
              <w:rPr>
                <w:rFonts w:ascii="Palatino Linotype" w:hAnsi="Palatino Linotype"/>
                <w:sz w:val="20"/>
                <w:vertAlign w:val="superscript"/>
              </w:rPr>
              <w:t>9</w:t>
            </w:r>
          </w:p>
        </w:tc>
      </w:tr>
      <w:tr w:rsidR="00F93ACB" w:rsidRPr="00F93ACB" w:rsidTr="00F93ACB">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hideMark/>
          </w:tcPr>
          <w:p w:rsidR="00F93ACB" w:rsidRPr="00F93ACB" w:rsidRDefault="00F93ACB" w:rsidP="000926DF">
            <w:pPr>
              <w:spacing w:after="160" w:line="259" w:lineRule="auto"/>
              <w:jc w:val="both"/>
              <w:rPr>
                <w:rFonts w:ascii="Palatino Linotype" w:hAnsi="Palatino Linotype"/>
                <w:b w:val="0"/>
                <w:sz w:val="20"/>
              </w:rPr>
            </w:pPr>
            <w:r w:rsidRPr="00F93ACB">
              <w:rPr>
                <w:rFonts w:ascii="Palatino Linotype" w:hAnsi="Palatino Linotype"/>
                <w:b w:val="0"/>
                <w:sz w:val="20"/>
              </w:rPr>
              <w:t>0.30</w:t>
            </w:r>
          </w:p>
        </w:tc>
        <w:tc>
          <w:tcPr>
            <w:tcW w:w="0" w:type="auto"/>
            <w:tcBorders>
              <w:left w:val="nil"/>
            </w:tcBorders>
            <w:shd w:val="clear" w:color="auto" w:fill="auto"/>
            <w:vAlign w:val="center"/>
          </w:tcPr>
          <w:p w:rsidR="00F93ACB" w:rsidRPr="00F93ACB" w:rsidRDefault="00F93ACB" w:rsidP="000926DF">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F93ACB">
              <w:rPr>
                <w:rFonts w:ascii="Palatino Linotype" w:hAnsi="Palatino Linotype"/>
                <w:sz w:val="20"/>
              </w:rPr>
              <w:t>0.900x10</w:t>
            </w:r>
            <w:r w:rsidRPr="00F93ACB">
              <w:rPr>
                <w:rFonts w:ascii="Palatino Linotype" w:hAnsi="Palatino Linotype"/>
                <w:sz w:val="20"/>
                <w:vertAlign w:val="superscript"/>
              </w:rPr>
              <w:t>16</w:t>
            </w:r>
          </w:p>
        </w:tc>
        <w:tc>
          <w:tcPr>
            <w:tcW w:w="0" w:type="auto"/>
            <w:shd w:val="clear" w:color="auto" w:fill="auto"/>
            <w:vAlign w:val="center"/>
          </w:tcPr>
          <w:p w:rsidR="00F93ACB" w:rsidRPr="00F93ACB" w:rsidRDefault="00F93ACB" w:rsidP="000926DF">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F93ACB">
              <w:rPr>
                <w:rFonts w:ascii="Palatino Linotype" w:hAnsi="Palatino Linotype"/>
                <w:sz w:val="20"/>
              </w:rPr>
              <w:t>61</w:t>
            </w:r>
          </w:p>
        </w:tc>
        <w:tc>
          <w:tcPr>
            <w:tcW w:w="1478" w:type="dxa"/>
            <w:shd w:val="clear" w:color="auto" w:fill="auto"/>
            <w:vAlign w:val="center"/>
          </w:tcPr>
          <w:p w:rsidR="00F93ACB" w:rsidRPr="00F93ACB" w:rsidRDefault="00F93ACB" w:rsidP="000926DF">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F93ACB">
              <w:rPr>
                <w:rFonts w:ascii="Palatino Linotype" w:hAnsi="Palatino Linotype"/>
                <w:sz w:val="20"/>
              </w:rPr>
              <w:t>70.1</w:t>
            </w:r>
          </w:p>
        </w:tc>
        <w:tc>
          <w:tcPr>
            <w:tcW w:w="1041" w:type="dxa"/>
            <w:shd w:val="clear" w:color="auto" w:fill="auto"/>
            <w:vAlign w:val="center"/>
          </w:tcPr>
          <w:p w:rsidR="00F93ACB" w:rsidRPr="00F93ACB" w:rsidRDefault="00F93ACB" w:rsidP="000926DF">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F93ACB">
              <w:rPr>
                <w:rFonts w:ascii="Palatino Linotype" w:hAnsi="Palatino Linotype"/>
                <w:sz w:val="20"/>
              </w:rPr>
              <w:t>1.13 x10</w:t>
            </w:r>
            <w:r w:rsidRPr="00F93ACB">
              <w:rPr>
                <w:rFonts w:ascii="Palatino Linotype" w:hAnsi="Palatino Linotype"/>
                <w:sz w:val="20"/>
                <w:vertAlign w:val="superscript"/>
              </w:rPr>
              <w:t>9</w:t>
            </w:r>
          </w:p>
        </w:tc>
      </w:tr>
      <w:tr w:rsidR="00F93ACB" w:rsidRPr="00F93ACB" w:rsidTr="00F93ACB">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hideMark/>
          </w:tcPr>
          <w:p w:rsidR="00F93ACB" w:rsidRPr="00F93ACB" w:rsidRDefault="00F93ACB" w:rsidP="000926DF">
            <w:pPr>
              <w:spacing w:after="160" w:line="259" w:lineRule="auto"/>
              <w:jc w:val="both"/>
              <w:rPr>
                <w:rFonts w:ascii="Palatino Linotype" w:hAnsi="Palatino Linotype"/>
                <w:b w:val="0"/>
                <w:sz w:val="20"/>
              </w:rPr>
            </w:pPr>
            <w:r w:rsidRPr="00F93ACB">
              <w:rPr>
                <w:rFonts w:ascii="Palatino Linotype" w:hAnsi="Palatino Linotype"/>
                <w:b w:val="0"/>
                <w:sz w:val="20"/>
              </w:rPr>
              <w:t>0.10</w:t>
            </w:r>
          </w:p>
        </w:tc>
        <w:tc>
          <w:tcPr>
            <w:tcW w:w="0" w:type="auto"/>
            <w:tcBorders>
              <w:left w:val="nil"/>
            </w:tcBorders>
            <w:shd w:val="clear" w:color="auto" w:fill="auto"/>
            <w:vAlign w:val="center"/>
          </w:tcPr>
          <w:p w:rsidR="00F93ACB" w:rsidRPr="00F93ACB" w:rsidRDefault="00F93ACB" w:rsidP="000926DF">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F93ACB">
              <w:rPr>
                <w:rFonts w:ascii="Palatino Linotype" w:hAnsi="Palatino Linotype"/>
                <w:sz w:val="20"/>
              </w:rPr>
              <w:t>0.300x10</w:t>
            </w:r>
            <w:r w:rsidRPr="00F93ACB">
              <w:rPr>
                <w:rFonts w:ascii="Palatino Linotype" w:hAnsi="Palatino Linotype"/>
                <w:sz w:val="20"/>
                <w:vertAlign w:val="superscript"/>
              </w:rPr>
              <w:t>16</w:t>
            </w:r>
          </w:p>
        </w:tc>
        <w:tc>
          <w:tcPr>
            <w:tcW w:w="0" w:type="auto"/>
            <w:shd w:val="clear" w:color="auto" w:fill="auto"/>
            <w:vAlign w:val="center"/>
          </w:tcPr>
          <w:p w:rsidR="00F93ACB" w:rsidRPr="00F93ACB" w:rsidRDefault="00F93ACB" w:rsidP="000926DF">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F93ACB">
              <w:rPr>
                <w:rFonts w:ascii="Palatino Linotype" w:hAnsi="Palatino Linotype"/>
                <w:sz w:val="20"/>
              </w:rPr>
              <w:t>20</w:t>
            </w:r>
          </w:p>
        </w:tc>
        <w:tc>
          <w:tcPr>
            <w:tcW w:w="1478" w:type="dxa"/>
            <w:shd w:val="clear" w:color="auto" w:fill="auto"/>
            <w:vAlign w:val="center"/>
          </w:tcPr>
          <w:p w:rsidR="00F93ACB" w:rsidRPr="00F93ACB" w:rsidRDefault="00F93ACB" w:rsidP="000926DF">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F93ACB">
              <w:rPr>
                <w:rFonts w:ascii="Palatino Linotype" w:hAnsi="Palatino Linotype"/>
                <w:sz w:val="20"/>
              </w:rPr>
              <w:t>23.4</w:t>
            </w:r>
          </w:p>
        </w:tc>
        <w:tc>
          <w:tcPr>
            <w:tcW w:w="1041" w:type="dxa"/>
            <w:shd w:val="clear" w:color="auto" w:fill="auto"/>
            <w:vAlign w:val="center"/>
          </w:tcPr>
          <w:p w:rsidR="00F93ACB" w:rsidRPr="00F93ACB" w:rsidRDefault="00F93ACB" w:rsidP="000926DF">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F93ACB">
              <w:rPr>
                <w:rFonts w:ascii="Palatino Linotype" w:hAnsi="Palatino Linotype"/>
                <w:sz w:val="20"/>
              </w:rPr>
              <w:t>0.38 x10</w:t>
            </w:r>
            <w:r w:rsidRPr="00F93ACB">
              <w:rPr>
                <w:rFonts w:ascii="Palatino Linotype" w:hAnsi="Palatino Linotype"/>
                <w:sz w:val="20"/>
                <w:vertAlign w:val="superscript"/>
              </w:rPr>
              <w:t>9</w:t>
            </w:r>
          </w:p>
        </w:tc>
      </w:tr>
      <w:tr w:rsidR="00F93ACB" w:rsidRPr="00F93ACB" w:rsidTr="00F93ACB">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hideMark/>
          </w:tcPr>
          <w:p w:rsidR="00F93ACB" w:rsidRPr="00F93ACB" w:rsidRDefault="00F93ACB" w:rsidP="000926DF">
            <w:pPr>
              <w:spacing w:after="160" w:line="259" w:lineRule="auto"/>
              <w:jc w:val="both"/>
              <w:rPr>
                <w:rFonts w:ascii="Palatino Linotype" w:hAnsi="Palatino Linotype"/>
                <w:b w:val="0"/>
                <w:sz w:val="20"/>
              </w:rPr>
            </w:pPr>
            <w:r w:rsidRPr="00F93ACB">
              <w:rPr>
                <w:rFonts w:ascii="Palatino Linotype" w:hAnsi="Palatino Linotype"/>
                <w:b w:val="0"/>
                <w:sz w:val="20"/>
              </w:rPr>
              <w:t>0.05</w:t>
            </w:r>
          </w:p>
        </w:tc>
        <w:tc>
          <w:tcPr>
            <w:tcW w:w="0" w:type="auto"/>
            <w:tcBorders>
              <w:left w:val="nil"/>
            </w:tcBorders>
            <w:shd w:val="clear" w:color="auto" w:fill="auto"/>
            <w:vAlign w:val="center"/>
          </w:tcPr>
          <w:p w:rsidR="00F93ACB" w:rsidRPr="00F93ACB" w:rsidRDefault="00F93ACB" w:rsidP="000926DF">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F93ACB">
              <w:rPr>
                <w:rFonts w:ascii="Palatino Linotype" w:hAnsi="Palatino Linotype"/>
                <w:sz w:val="20"/>
              </w:rPr>
              <w:t>0.015x10</w:t>
            </w:r>
            <w:r w:rsidRPr="00F93ACB">
              <w:rPr>
                <w:rFonts w:ascii="Palatino Linotype" w:hAnsi="Palatino Linotype"/>
                <w:sz w:val="20"/>
                <w:vertAlign w:val="superscript"/>
              </w:rPr>
              <w:t>16</w:t>
            </w:r>
          </w:p>
        </w:tc>
        <w:tc>
          <w:tcPr>
            <w:tcW w:w="0" w:type="auto"/>
            <w:shd w:val="clear" w:color="auto" w:fill="auto"/>
            <w:vAlign w:val="center"/>
          </w:tcPr>
          <w:p w:rsidR="00F93ACB" w:rsidRPr="00F93ACB" w:rsidRDefault="00F93ACB" w:rsidP="000926DF">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F93ACB">
              <w:rPr>
                <w:rFonts w:ascii="Palatino Linotype" w:hAnsi="Palatino Linotype"/>
                <w:sz w:val="20"/>
              </w:rPr>
              <w:t>10</w:t>
            </w:r>
          </w:p>
        </w:tc>
        <w:tc>
          <w:tcPr>
            <w:tcW w:w="1478" w:type="dxa"/>
            <w:shd w:val="clear" w:color="auto" w:fill="auto"/>
            <w:vAlign w:val="center"/>
          </w:tcPr>
          <w:p w:rsidR="00F93ACB" w:rsidRPr="00F93ACB" w:rsidRDefault="00F93ACB" w:rsidP="000926DF">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F93ACB">
              <w:rPr>
                <w:rFonts w:ascii="Palatino Linotype" w:hAnsi="Palatino Linotype"/>
                <w:sz w:val="20"/>
              </w:rPr>
              <w:t>11.6</w:t>
            </w:r>
          </w:p>
        </w:tc>
        <w:tc>
          <w:tcPr>
            <w:tcW w:w="1041" w:type="dxa"/>
            <w:shd w:val="clear" w:color="auto" w:fill="auto"/>
            <w:vAlign w:val="center"/>
          </w:tcPr>
          <w:p w:rsidR="00F93ACB" w:rsidRPr="00F93ACB" w:rsidRDefault="00F93ACB" w:rsidP="000926DF">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F93ACB">
              <w:rPr>
                <w:rFonts w:ascii="Palatino Linotype" w:hAnsi="Palatino Linotype"/>
                <w:sz w:val="20"/>
              </w:rPr>
              <w:t>0.19 x10</w:t>
            </w:r>
            <w:r w:rsidRPr="00F93ACB">
              <w:rPr>
                <w:rFonts w:ascii="Palatino Linotype" w:hAnsi="Palatino Linotype"/>
                <w:sz w:val="20"/>
                <w:vertAlign w:val="superscript"/>
              </w:rPr>
              <w:t>9</w:t>
            </w:r>
          </w:p>
        </w:tc>
      </w:tr>
      <w:tr w:rsidR="00F93ACB" w:rsidRPr="00F93ACB" w:rsidTr="00F93ACB">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tcBorders>
              <w:bottom w:val="single" w:sz="18" w:space="0" w:color="auto"/>
              <w:right w:val="none" w:sz="0" w:space="0" w:color="auto"/>
            </w:tcBorders>
            <w:shd w:val="clear" w:color="auto" w:fill="auto"/>
            <w:vAlign w:val="center"/>
            <w:hideMark/>
          </w:tcPr>
          <w:p w:rsidR="00F93ACB" w:rsidRPr="00F93ACB" w:rsidRDefault="00F93ACB" w:rsidP="000926DF">
            <w:pPr>
              <w:spacing w:after="160" w:line="259" w:lineRule="auto"/>
              <w:jc w:val="both"/>
              <w:rPr>
                <w:rFonts w:ascii="Palatino Linotype" w:hAnsi="Palatino Linotype"/>
                <w:b w:val="0"/>
                <w:sz w:val="20"/>
              </w:rPr>
            </w:pPr>
            <w:r w:rsidRPr="00F93ACB">
              <w:rPr>
                <w:rFonts w:ascii="Palatino Linotype" w:hAnsi="Palatino Linotype"/>
                <w:b w:val="0"/>
                <w:sz w:val="20"/>
              </w:rPr>
              <w:t>0.01</w:t>
            </w:r>
          </w:p>
        </w:tc>
        <w:tc>
          <w:tcPr>
            <w:tcW w:w="0" w:type="auto"/>
            <w:tcBorders>
              <w:left w:val="nil"/>
              <w:bottom w:val="single" w:sz="18" w:space="0" w:color="auto"/>
            </w:tcBorders>
            <w:shd w:val="clear" w:color="auto" w:fill="auto"/>
            <w:vAlign w:val="center"/>
          </w:tcPr>
          <w:p w:rsidR="00F93ACB" w:rsidRPr="00F93ACB" w:rsidRDefault="00F93ACB" w:rsidP="000926DF">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F93ACB">
              <w:rPr>
                <w:rFonts w:ascii="Palatino Linotype" w:hAnsi="Palatino Linotype"/>
                <w:sz w:val="20"/>
              </w:rPr>
              <w:t>0.003x10</w:t>
            </w:r>
            <w:r w:rsidRPr="00F93ACB">
              <w:rPr>
                <w:rFonts w:ascii="Palatino Linotype" w:hAnsi="Palatino Linotype"/>
                <w:sz w:val="20"/>
                <w:vertAlign w:val="superscript"/>
              </w:rPr>
              <w:t>16</w:t>
            </w:r>
          </w:p>
        </w:tc>
        <w:tc>
          <w:tcPr>
            <w:tcW w:w="0" w:type="auto"/>
            <w:tcBorders>
              <w:bottom w:val="single" w:sz="18" w:space="0" w:color="auto"/>
            </w:tcBorders>
            <w:shd w:val="clear" w:color="auto" w:fill="auto"/>
            <w:vAlign w:val="center"/>
          </w:tcPr>
          <w:p w:rsidR="00F93ACB" w:rsidRPr="00F93ACB" w:rsidRDefault="00F93ACB" w:rsidP="000926DF">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F93ACB">
              <w:rPr>
                <w:rFonts w:ascii="Palatino Linotype" w:hAnsi="Palatino Linotype"/>
                <w:sz w:val="20"/>
              </w:rPr>
              <w:t>2</w:t>
            </w:r>
          </w:p>
        </w:tc>
        <w:tc>
          <w:tcPr>
            <w:tcW w:w="1478" w:type="dxa"/>
            <w:tcBorders>
              <w:bottom w:val="single" w:sz="18" w:space="0" w:color="auto"/>
            </w:tcBorders>
            <w:shd w:val="clear" w:color="auto" w:fill="auto"/>
            <w:vAlign w:val="center"/>
          </w:tcPr>
          <w:p w:rsidR="00F93ACB" w:rsidRPr="00F93ACB" w:rsidRDefault="00F93ACB" w:rsidP="000926DF">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F93ACB">
              <w:rPr>
                <w:rFonts w:ascii="Palatino Linotype" w:hAnsi="Palatino Linotype"/>
                <w:sz w:val="20"/>
              </w:rPr>
              <w:t>2.3</w:t>
            </w:r>
          </w:p>
        </w:tc>
        <w:tc>
          <w:tcPr>
            <w:tcW w:w="1041" w:type="dxa"/>
            <w:tcBorders>
              <w:bottom w:val="single" w:sz="18" w:space="0" w:color="auto"/>
            </w:tcBorders>
            <w:shd w:val="clear" w:color="auto" w:fill="auto"/>
            <w:vAlign w:val="center"/>
          </w:tcPr>
          <w:p w:rsidR="00F93ACB" w:rsidRPr="00F93ACB" w:rsidRDefault="00F93ACB" w:rsidP="000926DF">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F93ACB">
              <w:rPr>
                <w:rFonts w:ascii="Palatino Linotype" w:hAnsi="Palatino Linotype"/>
                <w:sz w:val="20"/>
              </w:rPr>
              <w:t>0.04 x10</w:t>
            </w:r>
            <w:r w:rsidRPr="00F93ACB">
              <w:rPr>
                <w:rFonts w:ascii="Palatino Linotype" w:hAnsi="Palatino Linotype"/>
                <w:sz w:val="20"/>
                <w:vertAlign w:val="superscript"/>
              </w:rPr>
              <w:t>9</w:t>
            </w:r>
          </w:p>
        </w:tc>
      </w:tr>
    </w:tbl>
    <w:p w:rsidR="00F93ACB" w:rsidRPr="00F93ACB" w:rsidRDefault="00F93ACB" w:rsidP="000926DF">
      <w:pPr>
        <w:jc w:val="both"/>
        <w:rPr>
          <w:rFonts w:ascii="Palatino Linotype" w:hAnsi="Palatino Linotype"/>
          <w:sz w:val="20"/>
          <w:lang w:val="en-US"/>
        </w:rPr>
      </w:pPr>
    </w:p>
    <w:p w:rsidR="00F93ACB" w:rsidRDefault="00F93ACB" w:rsidP="000926DF">
      <w:pPr>
        <w:jc w:val="both"/>
        <w:rPr>
          <w:rFonts w:ascii="Palatino Linotype" w:hAnsi="Palatino Linotype"/>
          <w:sz w:val="20"/>
          <w:lang w:val="en-US"/>
        </w:rPr>
      </w:pPr>
      <w:r w:rsidRPr="00F93ACB">
        <w:rPr>
          <w:rFonts w:ascii="Palatino Linotype" w:hAnsi="Palatino Linotype"/>
          <w:sz w:val="20"/>
          <w:lang w:val="en-US"/>
        </w:rPr>
        <w:t>In the case for calculating theT4 N</w:t>
      </w:r>
      <w:r w:rsidRPr="00F93ACB">
        <w:rPr>
          <w:rFonts w:ascii="Palatino Linotype" w:hAnsi="Palatino Linotype"/>
          <w:sz w:val="20"/>
          <w:vertAlign w:val="subscript"/>
          <w:lang w:val="en-US"/>
        </w:rPr>
        <w:t>SERS</w:t>
      </w:r>
      <w:r w:rsidRPr="00F93ACB">
        <w:rPr>
          <w:rFonts w:ascii="Palatino Linotype" w:hAnsi="Palatino Linotype"/>
          <w:sz w:val="20"/>
          <w:lang w:val="en-US"/>
        </w:rPr>
        <w:t xml:space="preserve">, we considered a homogeneous deposition of the T4 molecules on the surface of the NPs. Despite the thickness of molecule multi-layer array (see column 4 in Table S1), we decided to consider only the molecules in the first 3 nm thickness that are closer to the metal surface. The explanation is based on the theoretical-numerical modeling of a metal NP's near electric field intensity. On the left of Figure S3, an image of the near-electric field intensity of a spherical Au NP is shown, excited at 632 nm, with an electric field polarized in the Y-axis and propagating along the X-axis. As we can see, the field intensity decreases as we move away from the surface. Due to the dipole configuration, the electric field intensity is not uniform over the surface for a particular distance from the surface. To highlight this fact, we have drawn a circle 5 nm apart from the NP surface; the area enclosed between the circle and the surface contains hot spot areas and spots with lower intensities. We have calculated the average intensity for circles separated from different distances; the plot shown on the right of S3 figure indicates an exponential decrease of intensity as we move away from the surface. The maximum average is obtained at a distance of 3 nm.  </w:t>
      </w:r>
    </w:p>
    <w:p w:rsidR="00F93ACB" w:rsidRPr="00F93ACB" w:rsidRDefault="00F93ACB" w:rsidP="00F462E4">
      <w:pPr>
        <w:jc w:val="center"/>
        <w:rPr>
          <w:rFonts w:ascii="Palatino Linotype" w:hAnsi="Palatino Linotype"/>
          <w:sz w:val="20"/>
          <w:lang w:val="en-US"/>
        </w:rPr>
      </w:pPr>
      <w:bookmarkStart w:id="0" w:name="_GoBack"/>
      <w:r w:rsidRPr="00F93ACB">
        <w:rPr>
          <w:rFonts w:ascii="Palatino Linotype" w:hAnsi="Palatino Linotype"/>
          <w:noProof/>
          <w:sz w:val="20"/>
          <w:lang w:eastAsia="es-MX"/>
        </w:rPr>
        <w:lastRenderedPageBreak/>
        <w:drawing>
          <wp:inline distT="0" distB="0" distL="0" distR="0" wp14:anchorId="58DA3530" wp14:editId="463754D1">
            <wp:extent cx="5400000" cy="1897877"/>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fs3.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400000" cy="1897877"/>
                    </a:xfrm>
                    <a:prstGeom prst="rect">
                      <a:avLst/>
                    </a:prstGeom>
                  </pic:spPr>
                </pic:pic>
              </a:graphicData>
            </a:graphic>
          </wp:inline>
        </w:drawing>
      </w:r>
      <w:bookmarkEnd w:id="0"/>
    </w:p>
    <w:p w:rsidR="00F93ACB" w:rsidRPr="00F93ACB" w:rsidRDefault="00F93ACB" w:rsidP="000926DF">
      <w:pPr>
        <w:jc w:val="both"/>
        <w:rPr>
          <w:rFonts w:ascii="Palatino Linotype" w:hAnsi="Palatino Linotype"/>
          <w:sz w:val="20"/>
          <w:lang w:val="en-US"/>
        </w:rPr>
      </w:pPr>
      <w:r w:rsidRPr="00F93ACB">
        <w:rPr>
          <w:rFonts w:ascii="Palatino Linotype" w:hAnsi="Palatino Linotype"/>
          <w:b/>
          <w:sz w:val="20"/>
          <w:lang w:val="en-US"/>
        </w:rPr>
        <w:t>Figure S3.</w:t>
      </w:r>
      <w:r w:rsidRPr="00F93ACB">
        <w:rPr>
          <w:rFonts w:ascii="Palatino Linotype" w:hAnsi="Palatino Linotype"/>
          <w:sz w:val="20"/>
          <w:lang w:val="en-US"/>
        </w:rPr>
        <w:t xml:space="preserve"> Near electric field intensity image of an Au NP of 50 nm of diameter and plot of the mean |E|</w:t>
      </w:r>
      <w:r w:rsidRPr="00F93ACB">
        <w:rPr>
          <w:rFonts w:ascii="Palatino Linotype" w:hAnsi="Palatino Linotype"/>
          <w:sz w:val="20"/>
          <w:vertAlign w:val="superscript"/>
          <w:lang w:val="en-US"/>
        </w:rPr>
        <w:t>4</w:t>
      </w:r>
      <w:r w:rsidRPr="00F93ACB">
        <w:rPr>
          <w:rFonts w:ascii="Palatino Linotype" w:hAnsi="Palatino Linotype"/>
          <w:sz w:val="20"/>
          <w:lang w:val="en-US"/>
        </w:rPr>
        <w:t xml:space="preserve"> with increasing distance from the Au NP surface.</w:t>
      </w:r>
    </w:p>
    <w:p w:rsidR="00F93ACB" w:rsidRPr="00F93ACB" w:rsidRDefault="00F93ACB" w:rsidP="000926DF">
      <w:pPr>
        <w:jc w:val="both"/>
        <w:rPr>
          <w:rFonts w:ascii="Palatino Linotype" w:hAnsi="Palatino Linotype"/>
          <w:sz w:val="20"/>
          <w:lang w:val="en-US"/>
        </w:rPr>
      </w:pPr>
      <w:r w:rsidRPr="00F93ACB">
        <w:rPr>
          <w:rFonts w:ascii="Palatino Linotype" w:hAnsi="Palatino Linotype"/>
          <w:sz w:val="20"/>
          <w:lang w:val="en-US"/>
        </w:rPr>
        <w:t xml:space="preserve">Again, we consider that each molecule occupies the volume of a rectangular prism and that only the excited T4 molecules are the ones on the metallic NPs located in the laser spot area. Several SEM images were analyzed to determine the average number of NPs under the laser spot area. Figure S4 shows representative SEM images of Au and Ag NPs; there, a red circle represents the laser spot area. A count of the number of particles inside the circle was made. A similar procedure was done for several SEM images. Finally, the average number of Au NPs is 150, and for Ag NPs is 70. </w:t>
      </w:r>
    </w:p>
    <w:p w:rsidR="00F93ACB" w:rsidRDefault="00F93ACB" w:rsidP="00F462E4">
      <w:pPr>
        <w:jc w:val="center"/>
        <w:rPr>
          <w:rFonts w:ascii="Palatino Linotype" w:hAnsi="Palatino Linotype"/>
          <w:sz w:val="20"/>
          <w:lang w:val="en-US"/>
        </w:rPr>
      </w:pPr>
      <w:r w:rsidRPr="00F93ACB">
        <w:rPr>
          <w:rFonts w:ascii="Palatino Linotype" w:hAnsi="Palatino Linotype"/>
          <w:noProof/>
          <w:sz w:val="20"/>
          <w:lang w:eastAsia="es-MX"/>
        </w:rPr>
        <w:drawing>
          <wp:inline distT="0" distB="0" distL="0" distR="0">
            <wp:extent cx="4495800" cy="17907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fs4.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95800" cy="1790700"/>
                    </a:xfrm>
                    <a:prstGeom prst="rect">
                      <a:avLst/>
                    </a:prstGeom>
                  </pic:spPr>
                </pic:pic>
              </a:graphicData>
            </a:graphic>
          </wp:inline>
        </w:drawing>
      </w:r>
    </w:p>
    <w:p w:rsidR="00F93ACB" w:rsidRPr="00F93ACB" w:rsidRDefault="00F93ACB" w:rsidP="000926DF">
      <w:pPr>
        <w:jc w:val="both"/>
        <w:rPr>
          <w:rFonts w:ascii="Palatino Linotype" w:hAnsi="Palatino Linotype"/>
          <w:sz w:val="20"/>
          <w:lang w:val="en-US"/>
        </w:rPr>
      </w:pPr>
      <w:r w:rsidRPr="00F93ACB">
        <w:rPr>
          <w:rFonts w:ascii="Palatino Linotype" w:hAnsi="Palatino Linotype"/>
          <w:sz w:val="20"/>
          <w:lang w:val="en-US"/>
        </w:rPr>
        <w:t xml:space="preserve"> </w:t>
      </w:r>
      <w:r w:rsidRPr="00F93ACB">
        <w:rPr>
          <w:rFonts w:ascii="Palatino Linotype" w:hAnsi="Palatino Linotype"/>
          <w:b/>
          <w:sz w:val="20"/>
          <w:lang w:val="en-US"/>
        </w:rPr>
        <w:t>Figure S4.</w:t>
      </w:r>
      <w:r w:rsidRPr="00F93ACB">
        <w:rPr>
          <w:rFonts w:ascii="Palatino Linotype" w:hAnsi="Palatino Linotype"/>
          <w:sz w:val="20"/>
          <w:lang w:val="en-US"/>
        </w:rPr>
        <w:t xml:space="preserve"> SEM micrograph at a magnification of 15,000x of the SERS substrate of (a) Au NPs and (b) Ag NPs,</w:t>
      </w:r>
    </w:p>
    <w:p w:rsidR="00F93ACB" w:rsidRPr="00F93ACB" w:rsidRDefault="00F93ACB" w:rsidP="000926DF">
      <w:pPr>
        <w:jc w:val="both"/>
        <w:rPr>
          <w:rFonts w:ascii="Palatino Linotype" w:hAnsi="Palatino Linotype"/>
          <w:sz w:val="20"/>
          <w:lang w:val="en-US"/>
        </w:rPr>
      </w:pPr>
      <w:r w:rsidRPr="00F93ACB">
        <w:rPr>
          <w:rFonts w:ascii="Palatino Linotype" w:hAnsi="Palatino Linotype"/>
          <w:sz w:val="20"/>
          <w:lang w:val="en-US"/>
        </w:rPr>
        <w:t>Then, the total surface area occupied by the NPs was determined as follows. Under the laser spot several single NPs and clusters of them are excited. We assume that once the molecule solution drops are cast on the plasmonic substrate, and laser beam is on, the excited molecules are those that fall on the upper hemisphere of the metal NPs. The total area occupied by the NPs was determined by multiplying the average number of metal NPs times the upper hemisphere area. The values are contained in the table S2.</w:t>
      </w:r>
    </w:p>
    <w:p w:rsidR="00F93ACB" w:rsidRPr="00F93ACB" w:rsidRDefault="00F93ACB" w:rsidP="000926DF">
      <w:pPr>
        <w:jc w:val="both"/>
        <w:rPr>
          <w:rFonts w:ascii="Palatino Linotype" w:hAnsi="Palatino Linotype"/>
          <w:sz w:val="20"/>
          <w:lang w:val="en-US"/>
        </w:rPr>
      </w:pPr>
      <w:r w:rsidRPr="00F93ACB">
        <w:rPr>
          <w:rFonts w:ascii="Palatino Linotype" w:hAnsi="Palatino Linotype"/>
          <w:b/>
          <w:sz w:val="20"/>
          <w:lang w:val="en-US"/>
        </w:rPr>
        <w:t>Table S2</w:t>
      </w:r>
      <w:r w:rsidRPr="00F93ACB">
        <w:rPr>
          <w:rFonts w:ascii="Palatino Linotype" w:hAnsi="Palatino Linotype"/>
          <w:sz w:val="20"/>
          <w:lang w:val="en-US"/>
        </w:rPr>
        <w:t xml:space="preserve">. Values used to estimate the total metal area occupied by the NP that are under the laser spot. </w:t>
      </w:r>
    </w:p>
    <w:tbl>
      <w:tblPr>
        <w:tblStyle w:val="Tablabsica1"/>
        <w:tblW w:w="0" w:type="auto"/>
        <w:tblLook w:val="04A0" w:firstRow="1" w:lastRow="0" w:firstColumn="1" w:lastColumn="0" w:noHBand="0" w:noVBand="1"/>
      </w:tblPr>
      <w:tblGrid>
        <w:gridCol w:w="1831"/>
        <w:gridCol w:w="1769"/>
        <w:gridCol w:w="1881"/>
        <w:gridCol w:w="1719"/>
        <w:gridCol w:w="1638"/>
      </w:tblGrid>
      <w:tr w:rsidR="00F93ACB" w:rsidRPr="00F462E4" w:rsidTr="00DA7CD8">
        <w:trPr>
          <w:cnfStyle w:val="100000000000" w:firstRow="1" w:lastRow="0" w:firstColumn="0" w:lastColumn="0" w:oddVBand="0" w:evenVBand="0" w:oddHBand="0" w:evenHBand="0" w:firstRowFirstColumn="0" w:firstRowLastColumn="0" w:lastRowFirstColumn="0" w:lastRowLastColumn="0"/>
        </w:trPr>
        <w:tc>
          <w:tcPr>
            <w:tcW w:w="2061" w:type="dxa"/>
            <w:vAlign w:val="center"/>
          </w:tcPr>
          <w:p w:rsidR="00F93ACB" w:rsidRPr="00F93ACB" w:rsidRDefault="00F93ACB" w:rsidP="000926DF">
            <w:pPr>
              <w:widowControl/>
              <w:topLinePunct w:val="0"/>
              <w:spacing w:after="160" w:line="259" w:lineRule="auto"/>
              <w:rPr>
                <w:rFonts w:ascii="Palatino Linotype" w:hAnsi="Palatino Linotype"/>
                <w:b/>
              </w:rPr>
            </w:pPr>
            <w:r w:rsidRPr="00F93ACB">
              <w:rPr>
                <w:rFonts w:ascii="Palatino Linotype" w:hAnsi="Palatino Linotype"/>
                <w:b/>
              </w:rPr>
              <w:lastRenderedPageBreak/>
              <w:t>Metal nanoparticles</w:t>
            </w:r>
          </w:p>
        </w:tc>
        <w:tc>
          <w:tcPr>
            <w:tcW w:w="2188" w:type="dxa"/>
            <w:vAlign w:val="center"/>
          </w:tcPr>
          <w:p w:rsidR="00F93ACB" w:rsidRPr="00F93ACB" w:rsidRDefault="00F93ACB" w:rsidP="000926DF">
            <w:pPr>
              <w:widowControl/>
              <w:topLinePunct w:val="0"/>
              <w:spacing w:after="160" w:line="259" w:lineRule="auto"/>
              <w:rPr>
                <w:rFonts w:ascii="Palatino Linotype" w:hAnsi="Palatino Linotype"/>
                <w:b/>
              </w:rPr>
            </w:pPr>
            <w:r w:rsidRPr="00F93ACB">
              <w:rPr>
                <w:rFonts w:ascii="Palatino Linotype" w:hAnsi="Palatino Linotype"/>
                <w:b/>
              </w:rPr>
              <w:t>Diameter (nm)</w:t>
            </w:r>
          </w:p>
        </w:tc>
        <w:tc>
          <w:tcPr>
            <w:tcW w:w="2234" w:type="dxa"/>
            <w:vAlign w:val="center"/>
          </w:tcPr>
          <w:p w:rsidR="00F93ACB" w:rsidRPr="00F93ACB" w:rsidRDefault="00F93ACB" w:rsidP="000926DF">
            <w:pPr>
              <w:widowControl/>
              <w:topLinePunct w:val="0"/>
              <w:spacing w:after="160" w:line="259" w:lineRule="auto"/>
              <w:rPr>
                <w:rFonts w:ascii="Palatino Linotype" w:hAnsi="Palatino Linotype"/>
                <w:b/>
              </w:rPr>
            </w:pPr>
            <w:r w:rsidRPr="00F93ACB">
              <w:rPr>
                <w:rFonts w:ascii="Palatino Linotype" w:hAnsi="Palatino Linotype"/>
                <w:b/>
              </w:rPr>
              <w:t>Upper hemisphere area (nm</w:t>
            </w:r>
            <w:r w:rsidRPr="00F93ACB">
              <w:rPr>
                <w:rFonts w:ascii="Palatino Linotype" w:hAnsi="Palatino Linotype"/>
                <w:b/>
                <w:vertAlign w:val="superscript"/>
              </w:rPr>
              <w:t>2</w:t>
            </w:r>
            <w:r w:rsidRPr="00F93ACB">
              <w:rPr>
                <w:rFonts w:ascii="Palatino Linotype" w:hAnsi="Palatino Linotype"/>
                <w:b/>
              </w:rPr>
              <w:t>)</w:t>
            </w:r>
          </w:p>
        </w:tc>
        <w:tc>
          <w:tcPr>
            <w:tcW w:w="2168" w:type="dxa"/>
            <w:vAlign w:val="center"/>
          </w:tcPr>
          <w:p w:rsidR="00F93ACB" w:rsidRPr="00F93ACB" w:rsidRDefault="00F93ACB" w:rsidP="000926DF">
            <w:pPr>
              <w:widowControl/>
              <w:topLinePunct w:val="0"/>
              <w:spacing w:after="160" w:line="259" w:lineRule="auto"/>
              <w:rPr>
                <w:rFonts w:ascii="Palatino Linotype" w:hAnsi="Palatino Linotype"/>
                <w:b/>
              </w:rPr>
            </w:pPr>
            <w:r w:rsidRPr="00F93ACB">
              <w:rPr>
                <w:rFonts w:ascii="Palatino Linotype" w:hAnsi="Palatino Linotype"/>
                <w:b/>
              </w:rPr>
              <w:t>Average NPs under the laser spot</w:t>
            </w:r>
          </w:p>
        </w:tc>
        <w:tc>
          <w:tcPr>
            <w:tcW w:w="1998" w:type="dxa"/>
            <w:vAlign w:val="center"/>
          </w:tcPr>
          <w:p w:rsidR="00F93ACB" w:rsidRPr="00F93ACB" w:rsidRDefault="00F93ACB" w:rsidP="000926DF">
            <w:pPr>
              <w:widowControl/>
              <w:topLinePunct w:val="0"/>
              <w:spacing w:after="160" w:line="259" w:lineRule="auto"/>
              <w:rPr>
                <w:rFonts w:ascii="Palatino Linotype" w:hAnsi="Palatino Linotype"/>
                <w:b/>
              </w:rPr>
            </w:pPr>
            <w:proofErr w:type="spellStart"/>
            <w:r w:rsidRPr="00F93ACB">
              <w:rPr>
                <w:rFonts w:ascii="Palatino Linotype" w:hAnsi="Palatino Linotype"/>
                <w:b/>
              </w:rPr>
              <w:t>A</w:t>
            </w:r>
            <w:r w:rsidRPr="00F93ACB">
              <w:rPr>
                <w:rFonts w:ascii="Palatino Linotype" w:hAnsi="Palatino Linotype"/>
                <w:b/>
                <w:vertAlign w:val="subscript"/>
              </w:rPr>
              <w:t>total</w:t>
            </w:r>
            <w:proofErr w:type="spellEnd"/>
            <w:r w:rsidRPr="00F93ACB">
              <w:rPr>
                <w:rFonts w:ascii="Palatino Linotype" w:hAnsi="Palatino Linotype"/>
                <w:b/>
              </w:rPr>
              <w:t xml:space="preserve"> =Total area occupied by the NPs (nm</w:t>
            </w:r>
            <w:r w:rsidRPr="00F93ACB">
              <w:rPr>
                <w:rFonts w:ascii="Palatino Linotype" w:hAnsi="Palatino Linotype"/>
                <w:b/>
                <w:vertAlign w:val="superscript"/>
              </w:rPr>
              <w:t>2</w:t>
            </w:r>
            <w:r w:rsidRPr="00F93ACB">
              <w:rPr>
                <w:rFonts w:ascii="Palatino Linotype" w:hAnsi="Palatino Linotype"/>
                <w:b/>
              </w:rPr>
              <w:t>)</w:t>
            </w:r>
          </w:p>
        </w:tc>
      </w:tr>
      <w:tr w:rsidR="00F93ACB" w:rsidRPr="00F93ACB" w:rsidTr="00DA7CD8">
        <w:tc>
          <w:tcPr>
            <w:tcW w:w="2061" w:type="dxa"/>
            <w:vAlign w:val="center"/>
          </w:tcPr>
          <w:p w:rsidR="00F93ACB" w:rsidRPr="00F93ACB" w:rsidRDefault="00F93ACB" w:rsidP="000926DF">
            <w:pPr>
              <w:widowControl/>
              <w:topLinePunct w:val="0"/>
              <w:spacing w:after="160" w:line="259" w:lineRule="auto"/>
              <w:rPr>
                <w:rFonts w:ascii="Palatino Linotype" w:hAnsi="Palatino Linotype"/>
              </w:rPr>
            </w:pPr>
            <w:r w:rsidRPr="00F93ACB">
              <w:rPr>
                <w:rFonts w:ascii="Palatino Linotype" w:hAnsi="Palatino Linotype"/>
              </w:rPr>
              <w:t>Au NP</w:t>
            </w:r>
          </w:p>
        </w:tc>
        <w:tc>
          <w:tcPr>
            <w:tcW w:w="2188" w:type="dxa"/>
            <w:vAlign w:val="center"/>
          </w:tcPr>
          <w:p w:rsidR="00F93ACB" w:rsidRPr="00F93ACB" w:rsidRDefault="00F93ACB" w:rsidP="000926DF">
            <w:pPr>
              <w:widowControl/>
              <w:topLinePunct w:val="0"/>
              <w:spacing w:after="160" w:line="259" w:lineRule="auto"/>
              <w:rPr>
                <w:rFonts w:ascii="Palatino Linotype" w:hAnsi="Palatino Linotype"/>
              </w:rPr>
            </w:pPr>
            <w:r w:rsidRPr="00F93ACB">
              <w:rPr>
                <w:rFonts w:ascii="Palatino Linotype" w:hAnsi="Palatino Linotype"/>
              </w:rPr>
              <w:t>53</w:t>
            </w:r>
          </w:p>
        </w:tc>
        <w:tc>
          <w:tcPr>
            <w:tcW w:w="2234" w:type="dxa"/>
            <w:vAlign w:val="center"/>
          </w:tcPr>
          <w:p w:rsidR="00F93ACB" w:rsidRPr="00F93ACB" w:rsidRDefault="00F93ACB" w:rsidP="000926DF">
            <w:pPr>
              <w:widowControl/>
              <w:topLinePunct w:val="0"/>
              <w:spacing w:after="160" w:line="259" w:lineRule="auto"/>
              <w:rPr>
                <w:rFonts w:ascii="Palatino Linotype" w:hAnsi="Palatino Linotype"/>
              </w:rPr>
            </w:pPr>
            <w:r w:rsidRPr="00F93ACB">
              <w:rPr>
                <w:rFonts w:ascii="Palatino Linotype" w:hAnsi="Palatino Linotype"/>
              </w:rPr>
              <w:t>4.41x10</w:t>
            </w:r>
            <w:r w:rsidRPr="00F93ACB">
              <w:rPr>
                <w:rFonts w:ascii="Palatino Linotype" w:hAnsi="Palatino Linotype"/>
                <w:vertAlign w:val="superscript"/>
              </w:rPr>
              <w:t>3</w:t>
            </w:r>
          </w:p>
        </w:tc>
        <w:tc>
          <w:tcPr>
            <w:tcW w:w="2168" w:type="dxa"/>
            <w:vAlign w:val="center"/>
          </w:tcPr>
          <w:p w:rsidR="00F93ACB" w:rsidRPr="00F93ACB" w:rsidRDefault="00F93ACB" w:rsidP="000926DF">
            <w:pPr>
              <w:widowControl/>
              <w:topLinePunct w:val="0"/>
              <w:spacing w:after="160" w:line="259" w:lineRule="auto"/>
              <w:rPr>
                <w:rFonts w:ascii="Palatino Linotype" w:hAnsi="Palatino Linotype"/>
              </w:rPr>
            </w:pPr>
            <w:r w:rsidRPr="00F93ACB">
              <w:rPr>
                <w:rFonts w:ascii="Palatino Linotype" w:hAnsi="Palatino Linotype"/>
              </w:rPr>
              <w:t>150</w:t>
            </w:r>
          </w:p>
        </w:tc>
        <w:tc>
          <w:tcPr>
            <w:tcW w:w="1998" w:type="dxa"/>
            <w:vAlign w:val="center"/>
          </w:tcPr>
          <w:p w:rsidR="00F93ACB" w:rsidRPr="00F93ACB" w:rsidRDefault="00F93ACB" w:rsidP="000926DF">
            <w:pPr>
              <w:widowControl/>
              <w:topLinePunct w:val="0"/>
              <w:spacing w:after="160" w:line="259" w:lineRule="auto"/>
              <w:rPr>
                <w:rFonts w:ascii="Palatino Linotype" w:hAnsi="Palatino Linotype"/>
              </w:rPr>
            </w:pPr>
            <w:r w:rsidRPr="00F93ACB">
              <w:rPr>
                <w:rFonts w:ascii="Palatino Linotype" w:hAnsi="Palatino Linotype"/>
              </w:rPr>
              <w:t>6.62x10</w:t>
            </w:r>
            <w:r w:rsidRPr="00F93ACB">
              <w:rPr>
                <w:rFonts w:ascii="Palatino Linotype" w:hAnsi="Palatino Linotype"/>
                <w:vertAlign w:val="superscript"/>
              </w:rPr>
              <w:t>5</w:t>
            </w:r>
          </w:p>
        </w:tc>
      </w:tr>
      <w:tr w:rsidR="00F93ACB" w:rsidRPr="00F93ACB" w:rsidTr="00DA7CD8">
        <w:tc>
          <w:tcPr>
            <w:tcW w:w="2061" w:type="dxa"/>
            <w:vAlign w:val="center"/>
          </w:tcPr>
          <w:p w:rsidR="00F93ACB" w:rsidRPr="00F93ACB" w:rsidRDefault="00F93ACB" w:rsidP="000926DF">
            <w:pPr>
              <w:widowControl/>
              <w:topLinePunct w:val="0"/>
              <w:spacing w:after="160" w:line="259" w:lineRule="auto"/>
              <w:rPr>
                <w:rFonts w:ascii="Palatino Linotype" w:hAnsi="Palatino Linotype"/>
              </w:rPr>
            </w:pPr>
            <w:r w:rsidRPr="00F93ACB">
              <w:rPr>
                <w:rFonts w:ascii="Palatino Linotype" w:hAnsi="Palatino Linotype"/>
              </w:rPr>
              <w:t>Ag NP</w:t>
            </w:r>
          </w:p>
        </w:tc>
        <w:tc>
          <w:tcPr>
            <w:tcW w:w="2188" w:type="dxa"/>
            <w:vAlign w:val="center"/>
          </w:tcPr>
          <w:p w:rsidR="00F93ACB" w:rsidRPr="00F93ACB" w:rsidRDefault="00F93ACB" w:rsidP="000926DF">
            <w:pPr>
              <w:widowControl/>
              <w:topLinePunct w:val="0"/>
              <w:spacing w:after="160" w:line="259" w:lineRule="auto"/>
              <w:rPr>
                <w:rFonts w:ascii="Palatino Linotype" w:hAnsi="Palatino Linotype"/>
              </w:rPr>
            </w:pPr>
            <w:r w:rsidRPr="00F93ACB">
              <w:rPr>
                <w:rFonts w:ascii="Palatino Linotype" w:hAnsi="Palatino Linotype"/>
              </w:rPr>
              <w:t>47</w:t>
            </w:r>
          </w:p>
        </w:tc>
        <w:tc>
          <w:tcPr>
            <w:tcW w:w="2234" w:type="dxa"/>
            <w:vAlign w:val="center"/>
          </w:tcPr>
          <w:p w:rsidR="00F93ACB" w:rsidRPr="00F93ACB" w:rsidRDefault="00F93ACB" w:rsidP="000926DF">
            <w:pPr>
              <w:widowControl/>
              <w:topLinePunct w:val="0"/>
              <w:spacing w:after="160" w:line="259" w:lineRule="auto"/>
              <w:rPr>
                <w:rFonts w:ascii="Palatino Linotype" w:hAnsi="Palatino Linotype"/>
              </w:rPr>
            </w:pPr>
            <w:r w:rsidRPr="00F93ACB">
              <w:rPr>
                <w:rFonts w:ascii="Palatino Linotype" w:hAnsi="Palatino Linotype"/>
              </w:rPr>
              <w:t>3.32x10</w:t>
            </w:r>
            <w:r w:rsidRPr="00F93ACB">
              <w:rPr>
                <w:rFonts w:ascii="Palatino Linotype" w:hAnsi="Palatino Linotype"/>
                <w:vertAlign w:val="superscript"/>
              </w:rPr>
              <w:t>3</w:t>
            </w:r>
          </w:p>
        </w:tc>
        <w:tc>
          <w:tcPr>
            <w:tcW w:w="2168" w:type="dxa"/>
            <w:vAlign w:val="center"/>
          </w:tcPr>
          <w:p w:rsidR="00F93ACB" w:rsidRPr="00F93ACB" w:rsidRDefault="00F93ACB" w:rsidP="000926DF">
            <w:pPr>
              <w:widowControl/>
              <w:topLinePunct w:val="0"/>
              <w:spacing w:after="160" w:line="259" w:lineRule="auto"/>
              <w:rPr>
                <w:rFonts w:ascii="Palatino Linotype" w:hAnsi="Palatino Linotype"/>
              </w:rPr>
            </w:pPr>
            <w:r w:rsidRPr="00F93ACB">
              <w:rPr>
                <w:rFonts w:ascii="Palatino Linotype" w:hAnsi="Palatino Linotype"/>
              </w:rPr>
              <w:t>70</w:t>
            </w:r>
          </w:p>
        </w:tc>
        <w:tc>
          <w:tcPr>
            <w:tcW w:w="1998" w:type="dxa"/>
            <w:vAlign w:val="center"/>
          </w:tcPr>
          <w:p w:rsidR="00F93ACB" w:rsidRPr="00F93ACB" w:rsidRDefault="00F93ACB" w:rsidP="000926DF">
            <w:pPr>
              <w:widowControl/>
              <w:topLinePunct w:val="0"/>
              <w:spacing w:after="160" w:line="259" w:lineRule="auto"/>
              <w:rPr>
                <w:rFonts w:ascii="Palatino Linotype" w:hAnsi="Palatino Linotype"/>
              </w:rPr>
            </w:pPr>
            <w:r w:rsidRPr="00F93ACB">
              <w:rPr>
                <w:rFonts w:ascii="Palatino Linotype" w:hAnsi="Palatino Linotype"/>
              </w:rPr>
              <w:t>2.33x10</w:t>
            </w:r>
            <w:r w:rsidRPr="00F93ACB">
              <w:rPr>
                <w:rFonts w:ascii="Palatino Linotype" w:hAnsi="Palatino Linotype"/>
                <w:vertAlign w:val="superscript"/>
              </w:rPr>
              <w:t>5</w:t>
            </w:r>
          </w:p>
        </w:tc>
      </w:tr>
    </w:tbl>
    <w:p w:rsidR="00F93ACB" w:rsidRPr="00F93ACB" w:rsidRDefault="00F93ACB" w:rsidP="000926DF">
      <w:pPr>
        <w:jc w:val="both"/>
        <w:rPr>
          <w:rFonts w:ascii="Palatino Linotype" w:hAnsi="Palatino Linotype"/>
          <w:sz w:val="20"/>
          <w:lang w:val="en-US"/>
        </w:rPr>
      </w:pPr>
    </w:p>
    <w:p w:rsidR="00F93ACB" w:rsidRPr="00F93ACB" w:rsidRDefault="00F93ACB" w:rsidP="000926DF">
      <w:pPr>
        <w:jc w:val="both"/>
        <w:rPr>
          <w:rFonts w:ascii="Palatino Linotype" w:hAnsi="Palatino Linotype"/>
          <w:sz w:val="20"/>
          <w:lang w:val="en-US"/>
        </w:rPr>
      </w:pPr>
      <w:r w:rsidRPr="00F93ACB">
        <w:rPr>
          <w:rFonts w:ascii="Palatino Linotype" w:hAnsi="Palatino Linotype"/>
          <w:sz w:val="20"/>
          <w:lang w:val="en-US"/>
        </w:rPr>
        <w:t>We also considered that the T4 molecules, in a vertical position, totally cover the upper hemisphere of the NPs. Therefore, 9.81x10</w:t>
      </w:r>
      <w:r w:rsidRPr="00F93ACB">
        <w:rPr>
          <w:rFonts w:ascii="Palatino Linotype" w:hAnsi="Palatino Linotype"/>
          <w:sz w:val="20"/>
          <w:vertAlign w:val="superscript"/>
          <w:lang w:val="en-US"/>
        </w:rPr>
        <w:t>5</w:t>
      </w:r>
      <w:r w:rsidRPr="00F93ACB">
        <w:rPr>
          <w:rFonts w:ascii="Palatino Linotype" w:hAnsi="Palatino Linotype"/>
          <w:sz w:val="20"/>
          <w:lang w:val="en-US"/>
        </w:rPr>
        <w:t xml:space="preserve"> molecules of T4 are absorbed on the Au metal surface and 3.45x10</w:t>
      </w:r>
      <w:r w:rsidRPr="00F93ACB">
        <w:rPr>
          <w:rFonts w:ascii="Palatino Linotype" w:hAnsi="Palatino Linotype"/>
          <w:sz w:val="20"/>
          <w:vertAlign w:val="superscript"/>
          <w:lang w:val="en-US"/>
        </w:rPr>
        <w:t>5</w:t>
      </w:r>
      <w:r w:rsidRPr="00F93ACB">
        <w:rPr>
          <w:rFonts w:ascii="Palatino Linotype" w:hAnsi="Palatino Linotype"/>
          <w:sz w:val="20"/>
          <w:lang w:val="en-US"/>
        </w:rPr>
        <w:t xml:space="preserve"> on the Ag metal surface. For each T4 molecule concentration, again, we assume that molecule layers were formed and the first layers on the surfaces forming a 3 nm thickness contributed the most to the SERS-EF. Then, for the determination of the N</w:t>
      </w:r>
      <w:r w:rsidRPr="00F93ACB">
        <w:rPr>
          <w:rFonts w:ascii="Palatino Linotype" w:hAnsi="Palatino Linotype"/>
          <w:sz w:val="20"/>
          <w:vertAlign w:val="subscript"/>
          <w:lang w:val="en-US"/>
        </w:rPr>
        <w:t>SERS</w:t>
      </w:r>
      <w:r w:rsidRPr="00F93ACB">
        <w:rPr>
          <w:rFonts w:ascii="Palatino Linotype" w:hAnsi="Palatino Linotype"/>
          <w:sz w:val="20"/>
          <w:lang w:val="en-US"/>
        </w:rPr>
        <w:t xml:space="preserve"> we follow the next equation:</w:t>
      </w:r>
    </w:p>
    <w:p w:rsidR="00F93ACB" w:rsidRPr="00F93ACB" w:rsidRDefault="00F462E4" w:rsidP="000926DF">
      <w:pPr>
        <w:jc w:val="both"/>
        <w:rPr>
          <w:rFonts w:ascii="Palatino Linotype" w:hAnsi="Palatino Linotype"/>
          <w:sz w:val="20"/>
          <w:lang w:val="en-US"/>
        </w:rPr>
      </w:pPr>
      <m:oMath>
        <m:sSub>
          <m:sSubPr>
            <m:ctrlPr>
              <w:rPr>
                <w:rFonts w:ascii="Cambria Math" w:hAnsi="Cambria Math"/>
                <w:sz w:val="20"/>
                <w:lang w:val="es-ES"/>
              </w:rPr>
            </m:ctrlPr>
          </m:sSubPr>
          <m:e>
            <m:r>
              <m:rPr>
                <m:sty m:val="p"/>
              </m:rPr>
              <w:rPr>
                <w:rFonts w:ascii="Cambria Math" w:hAnsi="Cambria Math"/>
                <w:sz w:val="20"/>
                <w:lang w:val="en-US"/>
              </w:rPr>
              <m:t>N</m:t>
            </m:r>
          </m:e>
          <m:sub>
            <m:r>
              <m:rPr>
                <m:sty m:val="p"/>
              </m:rPr>
              <w:rPr>
                <w:rFonts w:ascii="Cambria Math" w:hAnsi="Cambria Math"/>
                <w:sz w:val="20"/>
                <w:lang w:val="en-US"/>
              </w:rPr>
              <m:t>SERS</m:t>
            </m:r>
          </m:sub>
        </m:sSub>
        <m:r>
          <m:rPr>
            <m:sty m:val="p"/>
          </m:rPr>
          <w:rPr>
            <w:rFonts w:ascii="Cambria Math" w:hAnsi="Cambria Math"/>
            <w:sz w:val="20"/>
            <w:lang w:val="en-US"/>
          </w:rPr>
          <m:t>=</m:t>
        </m:r>
        <m:f>
          <m:fPr>
            <m:ctrlPr>
              <w:rPr>
                <w:rFonts w:ascii="Cambria Math" w:hAnsi="Cambria Math"/>
                <w:sz w:val="20"/>
                <w:lang w:val="es-ES"/>
              </w:rPr>
            </m:ctrlPr>
          </m:fPr>
          <m:num>
            <m:r>
              <m:rPr>
                <m:sty m:val="p"/>
              </m:rPr>
              <w:rPr>
                <w:rFonts w:ascii="Cambria Math" w:hAnsi="Cambria Math"/>
                <w:sz w:val="20"/>
                <w:lang w:val="en-US"/>
              </w:rPr>
              <m:t>(number of molecules assembling a single layer on the metal surface) (3 nm-thickness)</m:t>
            </m:r>
          </m:num>
          <m:den>
            <m:r>
              <m:rPr>
                <m:sty m:val="p"/>
              </m:rPr>
              <w:rPr>
                <w:rFonts w:ascii="Cambria Math" w:hAnsi="Cambria Math"/>
                <w:sz w:val="20"/>
                <w:lang w:val="en-US"/>
              </w:rPr>
              <m:t>height of the T4 molecule (H)</m:t>
            </m:r>
          </m:den>
        </m:f>
      </m:oMath>
      <w:r w:rsidR="00F93ACB" w:rsidRPr="00F93ACB">
        <w:rPr>
          <w:rFonts w:ascii="Palatino Linotype" w:hAnsi="Palatino Linotype"/>
          <w:sz w:val="20"/>
          <w:lang w:val="en-US"/>
        </w:rPr>
        <w:t>.</w:t>
      </w:r>
    </w:p>
    <w:p w:rsidR="00F93ACB" w:rsidRPr="00F93ACB" w:rsidRDefault="00F93ACB" w:rsidP="000926DF">
      <w:pPr>
        <w:jc w:val="both"/>
        <w:rPr>
          <w:rFonts w:ascii="Palatino Linotype" w:hAnsi="Palatino Linotype"/>
          <w:sz w:val="20"/>
          <w:lang w:val="en-US"/>
        </w:rPr>
      </w:pPr>
      <w:r w:rsidRPr="00F93ACB">
        <w:rPr>
          <w:rFonts w:ascii="Palatino Linotype" w:hAnsi="Palatino Linotype"/>
          <w:sz w:val="20"/>
          <w:lang w:val="en-US"/>
        </w:rPr>
        <w:t>Finally, the N</w:t>
      </w:r>
      <w:r w:rsidRPr="00F93ACB">
        <w:rPr>
          <w:rFonts w:ascii="Palatino Linotype" w:hAnsi="Palatino Linotype"/>
          <w:sz w:val="20"/>
          <w:vertAlign w:val="subscript"/>
          <w:lang w:val="en-US"/>
        </w:rPr>
        <w:t xml:space="preserve">SERS </w:t>
      </w:r>
      <w:r w:rsidRPr="00F93ACB">
        <w:rPr>
          <w:rFonts w:ascii="Palatino Linotype" w:hAnsi="Palatino Linotype"/>
          <w:sz w:val="20"/>
          <w:lang w:val="en-US"/>
        </w:rPr>
        <w:t>for Au NP substrate is 2.56 x10</w:t>
      </w:r>
      <w:r w:rsidRPr="00F93ACB">
        <w:rPr>
          <w:rFonts w:ascii="Palatino Linotype" w:hAnsi="Palatino Linotype"/>
          <w:sz w:val="20"/>
          <w:vertAlign w:val="superscript"/>
          <w:lang w:val="en-US"/>
        </w:rPr>
        <w:t>6</w:t>
      </w:r>
      <w:r w:rsidRPr="00F93ACB">
        <w:rPr>
          <w:rFonts w:ascii="Palatino Linotype" w:hAnsi="Palatino Linotype"/>
          <w:sz w:val="20"/>
          <w:lang w:val="en-US"/>
        </w:rPr>
        <w:t>, and for Ag NP substrate is 8.99 x10</w:t>
      </w:r>
      <w:r w:rsidRPr="00F93ACB">
        <w:rPr>
          <w:rFonts w:ascii="Palatino Linotype" w:hAnsi="Palatino Linotype"/>
          <w:sz w:val="20"/>
          <w:vertAlign w:val="superscript"/>
          <w:lang w:val="en-US"/>
        </w:rPr>
        <w:t>5</w:t>
      </w:r>
      <w:r w:rsidRPr="00F93ACB">
        <w:rPr>
          <w:rFonts w:ascii="Palatino Linotype" w:hAnsi="Palatino Linotype"/>
          <w:sz w:val="20"/>
          <w:lang w:val="en-US"/>
        </w:rPr>
        <w:t>. It is noteworthy to mention that these values are the same for all T4 concentrations, this is because we restrict the excited molecule layers to a thickness of 3 nm.</w:t>
      </w:r>
    </w:p>
    <w:p w:rsidR="00F634BD" w:rsidRPr="00F93ACB" w:rsidRDefault="00F634BD" w:rsidP="000926DF">
      <w:pPr>
        <w:jc w:val="both"/>
        <w:rPr>
          <w:rFonts w:ascii="Palatino Linotype" w:hAnsi="Palatino Linotype"/>
          <w:sz w:val="20"/>
          <w:lang w:val="en-US"/>
        </w:rPr>
      </w:pPr>
    </w:p>
    <w:sectPr w:rsidR="00F634BD" w:rsidRPr="00F93AC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CB"/>
    <w:rsid w:val="000926DF"/>
    <w:rsid w:val="00126242"/>
    <w:rsid w:val="00F462E4"/>
    <w:rsid w:val="00F634BD"/>
    <w:rsid w:val="00F93A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B2D8CF-4087-4E2F-AAF2-91140962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3">
    <w:name w:val="Plain Table 3"/>
    <w:basedOn w:val="Tablanormal"/>
    <w:uiPriority w:val="43"/>
    <w:rsid w:val="00F93AC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bsica1">
    <w:name w:val="Table Simple 1"/>
    <w:basedOn w:val="Tablanormal"/>
    <w:rsid w:val="00F93ACB"/>
    <w:pPr>
      <w:widowControl w:val="0"/>
      <w:topLinePunct/>
      <w:spacing w:after="0" w:line="240" w:lineRule="auto"/>
      <w:jc w:val="both"/>
    </w:pPr>
    <w:rPr>
      <w:rFonts w:ascii="Times New Roman" w:eastAsia="SimSun" w:hAnsi="Times New Roman"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1005</Words>
  <Characters>5529</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dc:creator>
  <cp:keywords/>
  <dc:description/>
  <cp:lastModifiedBy>PAULINA</cp:lastModifiedBy>
  <cp:revision>3</cp:revision>
  <dcterms:created xsi:type="dcterms:W3CDTF">2023-05-11T04:10:00Z</dcterms:created>
  <dcterms:modified xsi:type="dcterms:W3CDTF">2023-05-11T16:48:00Z</dcterms:modified>
</cp:coreProperties>
</file>