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7274" w14:textId="4F169628" w:rsidR="00237F8C" w:rsidRDefault="00237F8C" w:rsidP="002B35C5">
      <w:pPr>
        <w:pStyle w:val="Standard"/>
        <w:spacing w:after="240" w:line="240" w:lineRule="atLeast"/>
        <w:jc w:val="center"/>
        <w:rPr>
          <w:rFonts w:ascii="Palatino Linotype" w:hAnsi="Palatino Linotype" w:cs="Courier New"/>
          <w:b/>
          <w:bCs/>
          <w:sz w:val="36"/>
          <w:szCs w:val="36"/>
        </w:rPr>
      </w:pPr>
      <w:r>
        <w:rPr>
          <w:rFonts w:ascii="Palatino Linotype" w:hAnsi="Palatino Linotype" w:cs="Courier New"/>
          <w:b/>
          <w:bCs/>
          <w:sz w:val="36"/>
          <w:szCs w:val="36"/>
        </w:rPr>
        <w:t>Sup</w:t>
      </w:r>
      <w:r w:rsidR="002B35C5">
        <w:rPr>
          <w:rFonts w:ascii="Palatino Linotype" w:hAnsi="Palatino Linotype" w:cs="Courier New"/>
          <w:b/>
          <w:bCs/>
          <w:sz w:val="36"/>
          <w:szCs w:val="36"/>
        </w:rPr>
        <w:t>p</w:t>
      </w:r>
      <w:r>
        <w:rPr>
          <w:rFonts w:ascii="Palatino Linotype" w:hAnsi="Palatino Linotype" w:cs="Courier New"/>
          <w:b/>
          <w:bCs/>
          <w:sz w:val="36"/>
          <w:szCs w:val="36"/>
        </w:rPr>
        <w:t xml:space="preserve">lemental </w:t>
      </w:r>
      <w:r w:rsidR="002B35C5">
        <w:rPr>
          <w:rFonts w:ascii="Palatino Linotype" w:hAnsi="Palatino Linotype" w:cs="Courier New"/>
          <w:b/>
          <w:bCs/>
          <w:sz w:val="36"/>
          <w:szCs w:val="36"/>
        </w:rPr>
        <w:t>Materials</w:t>
      </w:r>
    </w:p>
    <w:p w14:paraId="64F85BBA" w14:textId="7EF73C17" w:rsidR="00237F8C" w:rsidRPr="00892FB5" w:rsidRDefault="00237F8C" w:rsidP="00237F8C">
      <w:pPr>
        <w:pStyle w:val="Standard"/>
        <w:spacing w:after="240" w:line="240" w:lineRule="atLeast"/>
        <w:jc w:val="both"/>
        <w:rPr>
          <w:rFonts w:ascii="Palatino Linotype" w:hAnsi="Palatino Linotype" w:cs="Courier New"/>
          <w:b/>
          <w:bCs/>
          <w:sz w:val="36"/>
          <w:szCs w:val="36"/>
        </w:rPr>
      </w:pPr>
      <w:r>
        <w:rPr>
          <w:rFonts w:ascii="Palatino Linotype" w:hAnsi="Palatino Linotype" w:cs="Courier New"/>
          <w:b/>
          <w:bCs/>
          <w:sz w:val="36"/>
          <w:szCs w:val="36"/>
        </w:rPr>
        <w:t>H</w:t>
      </w:r>
      <w:r w:rsidRPr="00892FB5">
        <w:rPr>
          <w:rFonts w:ascii="Palatino Linotype" w:hAnsi="Palatino Linotype" w:cs="Courier New"/>
          <w:b/>
          <w:bCs/>
          <w:sz w:val="36"/>
          <w:szCs w:val="36"/>
        </w:rPr>
        <w:t xml:space="preserve">ardening of Respiratory Syncytial Virus inclusion bodies by </w:t>
      </w:r>
      <w:proofErr w:type="spellStart"/>
      <w:r w:rsidRPr="00892FB5">
        <w:rPr>
          <w:rFonts w:ascii="Palatino Linotype" w:hAnsi="Palatino Linotype" w:cs="Courier New"/>
          <w:b/>
          <w:bCs/>
          <w:sz w:val="36"/>
          <w:szCs w:val="36"/>
        </w:rPr>
        <w:t>cyclopamine</w:t>
      </w:r>
      <w:proofErr w:type="spellEnd"/>
      <w:r w:rsidRPr="00892FB5">
        <w:rPr>
          <w:rFonts w:ascii="Palatino Linotype" w:hAnsi="Palatino Linotype" w:cs="Courier New"/>
          <w:b/>
          <w:bCs/>
          <w:sz w:val="36"/>
          <w:szCs w:val="36"/>
        </w:rPr>
        <w:t xml:space="preserve"> proceeds through perturbation of the interactions between the M2-1 protein, RNA and the P protein</w:t>
      </w:r>
    </w:p>
    <w:p w14:paraId="0F7488D0" w14:textId="7103E6E4" w:rsidR="00237F8C" w:rsidRPr="00C93E98" w:rsidRDefault="00237F8C" w:rsidP="00C93E98">
      <w:pPr>
        <w:pStyle w:val="MDPI13authornames"/>
      </w:pPr>
      <w:r w:rsidRPr="00C93E98">
        <w:t xml:space="preserve">Cedric </w:t>
      </w:r>
      <w:proofErr w:type="spellStart"/>
      <w:r w:rsidRPr="00C93E98">
        <w:t>Diot</w:t>
      </w:r>
      <w:proofErr w:type="spellEnd"/>
      <w:r w:rsidR="00C93E98" w:rsidRPr="00C93E98">
        <w:t xml:space="preserve"> </w:t>
      </w:r>
      <w:r w:rsidRPr="00C93E98">
        <w:rPr>
          <w:vertAlign w:val="superscript"/>
        </w:rPr>
        <w:t>1</w:t>
      </w:r>
      <w:r w:rsidRPr="00C93E98">
        <w:t>*, Charles-Adrien Richard</w:t>
      </w:r>
      <w:r w:rsidR="00C93E98" w:rsidRPr="00C93E98">
        <w:t xml:space="preserve"> </w:t>
      </w:r>
      <w:r w:rsidRPr="00C93E98">
        <w:rPr>
          <w:vertAlign w:val="superscript"/>
        </w:rPr>
        <w:t>2</w:t>
      </w:r>
      <w:r w:rsidRPr="00C93E98">
        <w:t>*,</w:t>
      </w:r>
      <w:r w:rsidR="00C93E98" w:rsidRPr="00C93E98">
        <w:t xml:space="preserve"> </w:t>
      </w:r>
      <w:r w:rsidRPr="00C93E98">
        <w:rPr>
          <w:vertAlign w:val="superscript"/>
        </w:rPr>
        <w:t xml:space="preserve"> </w:t>
      </w:r>
      <w:r w:rsidRPr="00C93E98">
        <w:t xml:space="preserve">Jennifer </w:t>
      </w:r>
      <w:proofErr w:type="spellStart"/>
      <w:r w:rsidRPr="00C93E98">
        <w:t>Risso-Ballester</w:t>
      </w:r>
      <w:proofErr w:type="spellEnd"/>
      <w:r w:rsidR="00C93E98" w:rsidRPr="00C93E98">
        <w:t xml:space="preserve"> </w:t>
      </w:r>
      <w:r w:rsidRPr="00C93E98">
        <w:rPr>
          <w:vertAlign w:val="superscript"/>
        </w:rPr>
        <w:t>3</w:t>
      </w:r>
      <w:r w:rsidRPr="00C93E98">
        <w:t>, Davy Martin</w:t>
      </w:r>
      <w:r w:rsidR="00C93E98" w:rsidRPr="00C93E98">
        <w:t xml:space="preserve"> </w:t>
      </w:r>
      <w:r w:rsidRPr="00C93E98">
        <w:rPr>
          <w:vertAlign w:val="superscript"/>
        </w:rPr>
        <w:t>2</w:t>
      </w:r>
      <w:r w:rsidRPr="00C93E98">
        <w:t>, Jenna Fix</w:t>
      </w:r>
      <w:r w:rsidR="00C93E98" w:rsidRPr="00C93E98">
        <w:t xml:space="preserve"> </w:t>
      </w:r>
      <w:r w:rsidRPr="00C93E98">
        <w:rPr>
          <w:vertAlign w:val="superscript"/>
        </w:rPr>
        <w:t>2</w:t>
      </w:r>
      <w:r w:rsidRPr="00C93E98">
        <w:t xml:space="preserve">, Jean-François </w:t>
      </w:r>
      <w:proofErr w:type="spellStart"/>
      <w:r w:rsidRPr="00C93E98">
        <w:t>Eléouët</w:t>
      </w:r>
      <w:proofErr w:type="spellEnd"/>
      <w:r w:rsidR="00C93E98" w:rsidRPr="00C93E98">
        <w:t xml:space="preserve"> </w:t>
      </w:r>
      <w:r w:rsidRPr="00C93E98">
        <w:rPr>
          <w:vertAlign w:val="superscript"/>
        </w:rPr>
        <w:t>2</w:t>
      </w:r>
      <w:r w:rsidRPr="00C93E98">
        <w:t xml:space="preserve">, Christina </w:t>
      </w:r>
      <w:proofErr w:type="spellStart"/>
      <w:r w:rsidRPr="00C93E98">
        <w:t>Sizun</w:t>
      </w:r>
      <w:proofErr w:type="spellEnd"/>
      <w:r w:rsidR="00C93E98" w:rsidRPr="00C93E98">
        <w:t xml:space="preserve"> </w:t>
      </w:r>
      <w:r w:rsidRPr="00C93E98">
        <w:rPr>
          <w:vertAlign w:val="superscript"/>
        </w:rPr>
        <w:t>4</w:t>
      </w:r>
      <w:r w:rsidRPr="00C93E98">
        <w:t xml:space="preserve">, Marie-Anne </w:t>
      </w:r>
      <w:proofErr w:type="spellStart"/>
      <w:r w:rsidRPr="00C93E98">
        <w:t>Rameix-Welti</w:t>
      </w:r>
      <w:proofErr w:type="spellEnd"/>
      <w:r w:rsidR="00C93E98" w:rsidRPr="00C93E98">
        <w:t xml:space="preserve"> </w:t>
      </w:r>
      <w:r w:rsidRPr="00C93E98">
        <w:rPr>
          <w:vertAlign w:val="superscript"/>
        </w:rPr>
        <w:t>5,</w:t>
      </w:r>
      <w:r w:rsidRPr="00C93E98">
        <w:t>*</w:t>
      </w:r>
      <w:r w:rsidR="00C93E98" w:rsidRPr="00C93E98">
        <w:t xml:space="preserve"> and </w:t>
      </w:r>
      <w:r w:rsidRPr="00C93E98">
        <w:t xml:space="preserve">Marie </w:t>
      </w:r>
      <w:proofErr w:type="spellStart"/>
      <w:r w:rsidRPr="00C93E98">
        <w:t>Galloux</w:t>
      </w:r>
      <w:proofErr w:type="spellEnd"/>
      <w:r w:rsidR="00C93E98" w:rsidRPr="00C93E98">
        <w:t xml:space="preserve"> </w:t>
      </w:r>
      <w:r w:rsidRPr="00C93E98">
        <w:rPr>
          <w:vertAlign w:val="superscript"/>
        </w:rPr>
        <w:t>2,</w:t>
      </w:r>
      <w:r w:rsidRPr="00C93E98">
        <w:t>*</w:t>
      </w:r>
    </w:p>
    <w:p w14:paraId="3C014FAE" w14:textId="5AF7C351" w:rsidR="003B0254" w:rsidRPr="00237F8C" w:rsidRDefault="00843454" w:rsidP="002B35C5">
      <w:pPr>
        <w:spacing w:before="120" w:after="240" w:line="19" w:lineRule="atLeast"/>
        <w:rPr>
          <w:rFonts w:ascii="Palatino Linotype" w:hAnsi="Palatino Linotype" w:cs="Calibri"/>
          <w:b/>
          <w:bCs/>
          <w:sz w:val="18"/>
          <w:szCs w:val="18"/>
          <w:lang w:val="en-US"/>
        </w:rPr>
      </w:pPr>
      <w:r>
        <w:rPr>
          <w:rFonts w:ascii="Palatino Linotype" w:hAnsi="Palatino Linotype" w:cs="Calibri"/>
          <w:b/>
          <w:bCs/>
          <w:noProof/>
          <w:sz w:val="18"/>
          <w:szCs w:val="18"/>
          <w:lang w:val="en-US"/>
          <w14:ligatures w14:val="standardContextual"/>
        </w:rPr>
        <w:drawing>
          <wp:inline distT="0" distB="0" distL="0" distR="0" wp14:anchorId="46CB4007" wp14:editId="3FD9CBBC">
            <wp:extent cx="5760720" cy="352171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 Fig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A0226" w14:textId="78B1E053" w:rsidR="003B0254" w:rsidRPr="00237F8C" w:rsidRDefault="00C93E98" w:rsidP="000F379E">
      <w:pPr>
        <w:spacing w:before="120" w:after="240" w:line="19" w:lineRule="atLeast"/>
        <w:jc w:val="both"/>
        <w:rPr>
          <w:rFonts w:ascii="Palatino Linotype" w:hAnsi="Palatino Linotype" w:cstheme="minorHAnsi"/>
          <w:sz w:val="18"/>
          <w:szCs w:val="18"/>
          <w:lang w:val="en-US"/>
        </w:rPr>
      </w:pPr>
      <w:r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 xml:space="preserve">Figure S1. </w:t>
      </w:r>
      <w:r w:rsidR="003B0254"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Droplets size is not altered by M2-1 or CPM addition</w:t>
      </w:r>
      <w:r w:rsidR="002B35C5">
        <w:rPr>
          <w:rFonts w:ascii="Palatino Linotype" w:hAnsi="Palatino Linotype" w:cstheme="minorHAnsi"/>
          <w:sz w:val="18"/>
          <w:szCs w:val="18"/>
          <w:lang w:val="en-US"/>
        </w:rPr>
        <w:t xml:space="preserve">. </w:t>
      </w:r>
      <w:r w:rsidR="003B0254" w:rsidRPr="00237F8C">
        <w:rPr>
          <w:rFonts w:ascii="Palatino Linotype" w:hAnsi="Palatino Linotype" w:cstheme="minorHAnsi"/>
          <w:sz w:val="18"/>
          <w:szCs w:val="18"/>
          <w:lang w:val="en-US"/>
        </w:rPr>
        <w:t>Size</w:t>
      </w:r>
      <w:r w:rsidR="00AB2308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 and roundness</w:t>
      </w:r>
      <w:r w:rsidR="003B0254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 of condensates w</w:t>
      </w:r>
      <w:r w:rsidR="00AB2308" w:rsidRPr="00237F8C">
        <w:rPr>
          <w:rFonts w:ascii="Palatino Linotype" w:hAnsi="Palatino Linotype" w:cstheme="minorHAnsi"/>
          <w:sz w:val="18"/>
          <w:szCs w:val="18"/>
          <w:lang w:val="en-US"/>
        </w:rPr>
        <w:t>ere</w:t>
      </w:r>
      <w:r w:rsidR="003B0254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 </w:t>
      </w:r>
      <w:r w:rsidR="00AE7799" w:rsidRPr="00237F8C">
        <w:rPr>
          <w:rFonts w:ascii="Palatino Linotype" w:hAnsi="Palatino Linotype" w:cstheme="minorHAnsi"/>
          <w:sz w:val="18"/>
          <w:szCs w:val="18"/>
          <w:lang w:val="en-US"/>
        </w:rPr>
        <w:t>quantified</w:t>
      </w:r>
      <w:r w:rsidR="003B0254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 </w:t>
      </w:r>
      <w:r w:rsidR="001950B9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on the Icy software using the Analysis Particles function and a size threshold at &gt;3 µm². </w:t>
      </w:r>
      <w:r w:rsidR="005D1B55" w:rsidRPr="00237F8C">
        <w:rPr>
          <w:rFonts w:ascii="Palatino Linotype" w:hAnsi="Palatino Linotype" w:cstheme="minorHAnsi"/>
          <w:sz w:val="18"/>
          <w:szCs w:val="18"/>
          <w:lang w:val="en-US"/>
        </w:rPr>
        <w:t>I</w:t>
      </w:r>
      <w:r w:rsidR="003B0254" w:rsidRPr="00237F8C">
        <w:rPr>
          <w:rFonts w:ascii="Palatino Linotype" w:hAnsi="Palatino Linotype" w:cstheme="minorHAnsi"/>
          <w:sz w:val="18"/>
          <w:szCs w:val="18"/>
          <w:lang w:val="en-US"/>
        </w:rPr>
        <w:t>mag</w:t>
      </w:r>
      <w:r w:rsidR="005D1B55" w:rsidRPr="00237F8C">
        <w:rPr>
          <w:rFonts w:ascii="Palatino Linotype" w:hAnsi="Palatino Linotype" w:cstheme="minorHAnsi"/>
          <w:sz w:val="18"/>
          <w:szCs w:val="18"/>
          <w:lang w:val="en-US"/>
        </w:rPr>
        <w:t>ing was</w:t>
      </w:r>
      <w:r w:rsidR="001950B9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 performed under </w:t>
      </w:r>
      <w:r w:rsidR="00F876C6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a </w:t>
      </w:r>
      <w:r w:rsidR="001950B9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Leica SP8 microscope using the 63x oil-immersion objective. </w:t>
      </w:r>
      <w:r w:rsidR="005273A1" w:rsidRPr="00237F8C">
        <w:rPr>
          <w:rFonts w:ascii="Palatino Linotype" w:hAnsi="Palatino Linotype" w:cstheme="minorHAnsi"/>
          <w:sz w:val="18"/>
          <w:szCs w:val="18"/>
          <w:lang w:val="en-US"/>
        </w:rPr>
        <w:t>Artefactual</w:t>
      </w:r>
      <w:r w:rsidR="00040A86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 values from aggregates and pairs of condensates fusing together </w:t>
      </w:r>
      <w:r w:rsidR="001950B9" w:rsidRPr="00237F8C">
        <w:rPr>
          <w:rFonts w:ascii="Palatino Linotype" w:hAnsi="Palatino Linotype" w:cstheme="minorHAnsi"/>
          <w:sz w:val="18"/>
          <w:szCs w:val="18"/>
          <w:lang w:val="en-US"/>
        </w:rPr>
        <w:t>were filtered</w:t>
      </w:r>
      <w:r w:rsidR="005273A1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-out </w:t>
      </w:r>
      <w:r w:rsidR="00040A86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using a 0.9 </w:t>
      </w:r>
      <w:r w:rsidR="001950B9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sphericity </w:t>
      </w:r>
      <w:r w:rsidR="00040A86" w:rsidRPr="00237F8C">
        <w:rPr>
          <w:rFonts w:ascii="Palatino Linotype" w:hAnsi="Palatino Linotype" w:cstheme="minorHAnsi"/>
          <w:sz w:val="18"/>
          <w:szCs w:val="18"/>
          <w:lang w:val="en-US"/>
        </w:rPr>
        <w:t>cut-off</w:t>
      </w:r>
      <w:r w:rsidR="001950B9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. </w:t>
      </w:r>
      <w:r w:rsidR="003350F2" w:rsidRPr="00237F8C">
        <w:rPr>
          <w:rFonts w:ascii="Palatino Linotype" w:hAnsi="Palatino Linotype" w:cstheme="minorHAnsi"/>
          <w:sz w:val="18"/>
          <w:szCs w:val="18"/>
          <w:lang w:val="en-US"/>
        </w:rPr>
        <w:t>The</w:t>
      </w:r>
      <w:r w:rsidR="00920DA3" w:rsidRPr="00237F8C">
        <w:rPr>
          <w:rFonts w:ascii="Palatino Linotype" w:hAnsi="Palatino Linotype" w:cstheme="minorHAnsi"/>
          <w:sz w:val="18"/>
          <w:szCs w:val="18"/>
          <w:lang w:val="en-US"/>
        </w:rPr>
        <w:t>se</w:t>
      </w:r>
      <w:r w:rsidR="003350F2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 parameters were measured on 500 to 1,500</w:t>
      </w:r>
      <w:r w:rsidR="00920DA3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 condensates per experiment.</w:t>
      </w:r>
      <w:r w:rsidR="003350F2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 </w:t>
      </w:r>
      <w:r w:rsidR="003B0254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Median area </w:t>
      </w:r>
      <w:r w:rsidR="00AB2308" w:rsidRPr="00237F8C">
        <w:rPr>
          <w:rFonts w:ascii="Palatino Linotype" w:hAnsi="Palatino Linotype" w:cstheme="minorHAnsi"/>
          <w:sz w:val="18"/>
          <w:szCs w:val="18"/>
          <w:lang w:val="en-US"/>
        </w:rPr>
        <w:t>(A) a</w:t>
      </w:r>
      <w:r w:rsidR="00040A86" w:rsidRPr="00237F8C">
        <w:rPr>
          <w:rFonts w:ascii="Palatino Linotype" w:hAnsi="Palatino Linotype" w:cstheme="minorHAnsi"/>
          <w:sz w:val="18"/>
          <w:szCs w:val="18"/>
          <w:lang w:val="en-US"/>
        </w:rPr>
        <w:t>n</w:t>
      </w:r>
      <w:r w:rsidR="00AB2308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d roundness (B) </w:t>
      </w:r>
      <w:r w:rsidR="003B0254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from </w:t>
      </w:r>
      <w:r w:rsidR="00040A86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three independent </w:t>
      </w:r>
      <w:r w:rsidR="003B0254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experiment are </w:t>
      </w:r>
      <w:r w:rsidR="00040A86" w:rsidRPr="00237F8C">
        <w:rPr>
          <w:rFonts w:ascii="Palatino Linotype" w:hAnsi="Palatino Linotype" w:cstheme="minorHAnsi"/>
          <w:sz w:val="18"/>
          <w:szCs w:val="18"/>
          <w:lang w:val="en-US"/>
        </w:rPr>
        <w:t>plotted</w:t>
      </w:r>
      <w:r w:rsidR="008962D2" w:rsidRPr="00237F8C">
        <w:rPr>
          <w:rFonts w:ascii="Palatino Linotype" w:hAnsi="Palatino Linotype" w:cstheme="minorHAnsi"/>
          <w:sz w:val="18"/>
          <w:szCs w:val="18"/>
          <w:lang w:val="en-US"/>
        </w:rPr>
        <w:t>,</w:t>
      </w:r>
      <w:r w:rsidR="003B0254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 central bar</w:t>
      </w:r>
      <w:r w:rsidR="00040A86" w:rsidRPr="00237F8C">
        <w:rPr>
          <w:rFonts w:ascii="Palatino Linotype" w:hAnsi="Palatino Linotype" w:cstheme="minorHAnsi"/>
          <w:sz w:val="18"/>
          <w:szCs w:val="18"/>
          <w:lang w:val="en-US"/>
        </w:rPr>
        <w:t>s</w:t>
      </w:r>
      <w:r w:rsidR="003B0254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 indicate mean ± SD. Statistical analysis w</w:t>
      </w:r>
      <w:r w:rsidR="00AB2308" w:rsidRPr="00237F8C">
        <w:rPr>
          <w:rFonts w:ascii="Palatino Linotype" w:hAnsi="Palatino Linotype" w:cstheme="minorHAnsi"/>
          <w:sz w:val="18"/>
          <w:szCs w:val="18"/>
          <w:lang w:val="en-US"/>
        </w:rPr>
        <w:t>ere</w:t>
      </w:r>
      <w:r w:rsidR="003B0254" w:rsidRPr="00237F8C">
        <w:rPr>
          <w:rFonts w:ascii="Palatino Linotype" w:hAnsi="Palatino Linotype" w:cstheme="minorHAnsi"/>
          <w:sz w:val="18"/>
          <w:szCs w:val="18"/>
          <w:lang w:val="en-US"/>
        </w:rPr>
        <w:t xml:space="preserve"> done using Kolmogorov-Smirnov test; </w:t>
      </w:r>
      <w:r w:rsidR="003B0254" w:rsidRPr="00237F8C">
        <w:rPr>
          <w:rFonts w:ascii="Palatino Linotype" w:hAnsi="Palatino Linotype" w:cstheme="minorHAnsi"/>
          <w:i/>
          <w:iCs/>
          <w:sz w:val="18"/>
          <w:szCs w:val="18"/>
          <w:lang w:val="en-US"/>
        </w:rPr>
        <w:t>ns</w:t>
      </w:r>
      <w:r w:rsidR="003B0254" w:rsidRPr="00237F8C">
        <w:rPr>
          <w:rFonts w:ascii="Palatino Linotype" w:hAnsi="Palatino Linotype" w:cstheme="minorHAnsi"/>
          <w:sz w:val="18"/>
          <w:szCs w:val="18"/>
          <w:lang w:val="en-US"/>
        </w:rPr>
        <w:t>: not significant.</w:t>
      </w:r>
    </w:p>
    <w:p w14:paraId="7E0409F0" w14:textId="6E0CDB4E" w:rsidR="002B35C5" w:rsidRPr="00C93E98" w:rsidRDefault="00332F9E" w:rsidP="00C93E98">
      <w:pPr>
        <w:spacing w:before="120" w:after="240" w:line="19" w:lineRule="atLeast"/>
        <w:rPr>
          <w:rFonts w:ascii="Palatino Linotype" w:hAnsi="Palatino Linotype" w:cs="Calibri"/>
          <w:sz w:val="18"/>
          <w:szCs w:val="18"/>
          <w:lang w:val="en-US"/>
        </w:rPr>
      </w:pPr>
      <w:r w:rsidRPr="00237F8C">
        <w:rPr>
          <w:rFonts w:ascii="Palatino Linotype" w:hAnsi="Palatino Linotype" w:cs="Calibri"/>
          <w:sz w:val="18"/>
          <w:szCs w:val="18"/>
          <w:lang w:val="en-US"/>
        </w:rPr>
        <w:br w:type="page"/>
      </w:r>
    </w:p>
    <w:p w14:paraId="6481ECF0" w14:textId="09DDC4D3" w:rsidR="002B35C5" w:rsidRDefault="00C93E98" w:rsidP="002B35C5">
      <w:pPr>
        <w:spacing w:before="120" w:after="240" w:line="19" w:lineRule="atLeast"/>
        <w:jc w:val="both"/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</w:pPr>
      <w:r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lastRenderedPageBreak/>
        <w:pict w14:anchorId="076055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257.25pt">
            <v:imagedata r:id="rId6" o:title="M21 interaction CPM RMN 2D"/>
          </v:shape>
        </w:pict>
      </w:r>
    </w:p>
    <w:p w14:paraId="40F14B44" w14:textId="7E463A37" w:rsidR="002B35C5" w:rsidRPr="00237F8C" w:rsidRDefault="00362FBB" w:rsidP="002B35C5">
      <w:pPr>
        <w:spacing w:before="120" w:after="240" w:line="19" w:lineRule="atLeast"/>
        <w:jc w:val="both"/>
        <w:rPr>
          <w:rFonts w:ascii="Palatino Linotype" w:eastAsia="MyriadPro-Regular" w:hAnsi="Palatino Linotype" w:cs="Calibri"/>
          <w:bCs/>
          <w:sz w:val="18"/>
          <w:szCs w:val="18"/>
          <w:lang w:val="en-US"/>
        </w:rPr>
      </w:pPr>
      <w:r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Fig</w:t>
      </w:r>
      <w:r w:rsidR="002B35C5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ure</w:t>
      </w:r>
      <w:r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 xml:space="preserve"> </w:t>
      </w:r>
      <w:r w:rsidR="002B35C5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S</w:t>
      </w:r>
      <w:r w:rsidR="00D0472F"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2</w:t>
      </w:r>
      <w:r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 xml:space="preserve">: </w:t>
      </w:r>
      <w:r w:rsidR="006E0A54"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 xml:space="preserve">CPM does not bind to </w:t>
      </w:r>
      <w:r w:rsidR="00987378"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M2-1core</w:t>
      </w:r>
      <w:r w:rsidR="00021D01"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 xml:space="preserve"> with high affinity</w:t>
      </w:r>
      <w:r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 xml:space="preserve">. 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vertAlign w:val="superscript"/>
          <w:lang w:val="en-US"/>
        </w:rPr>
        <w:t>1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>H-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vertAlign w:val="superscript"/>
          <w:lang w:val="en-US"/>
        </w:rPr>
        <w:t>15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N BTROSY spectra of </w:t>
      </w:r>
      <w:r w:rsidR="00987378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100 µM 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vertAlign w:val="superscript"/>
          <w:lang w:val="en-US"/>
        </w:rPr>
        <w:t>15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N-labeled </w:t>
      </w:r>
      <w:r w:rsidR="00987378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M2-1core domain without 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>(</w:t>
      </w:r>
      <w:r w:rsidR="00987378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>red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 contours) and </w:t>
      </w:r>
      <w:r w:rsidR="00987378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>with one molar equivalent of CPM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 (</w:t>
      </w:r>
      <w:r w:rsidR="00C804FB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>teal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 contours) are superimposed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. </w:t>
      </w:r>
      <w:r w:rsidR="00987378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Measurements were done at 700 MHz </w:t>
      </w:r>
      <w:r w:rsidR="00987378" w:rsidRPr="00237F8C">
        <w:rPr>
          <w:rFonts w:ascii="Palatino Linotype" w:eastAsia="MyriadPro-Regular" w:hAnsi="Palatino Linotype" w:cs="Calibri"/>
          <w:bCs/>
          <w:sz w:val="18"/>
          <w:szCs w:val="18"/>
          <w:vertAlign w:val="superscript"/>
          <w:lang w:val="en-US"/>
        </w:rPr>
        <w:t>1</w:t>
      </w:r>
      <w:r w:rsidR="00987378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>H frequency and at a temperature of 298K. Addition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 </w:t>
      </w:r>
      <w:r w:rsidR="00987378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>of CPM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 </w:t>
      </w:r>
      <w:r w:rsidR="00987378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>does not induce significant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 chemical shift </w:t>
      </w:r>
      <w:r w:rsidR="00987378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or intensity 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>perturbations</w:t>
      </w:r>
      <w:r w:rsidR="00D22BF3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>, indicating that CPM does not bind to M2-1core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>. Amide signals are annotated with th</w:t>
      </w:r>
      <w:r w:rsidR="00695995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>e corresponding residue number.</w:t>
      </w:r>
    </w:p>
    <w:p w14:paraId="70DB4E56" w14:textId="764A9A18" w:rsidR="002B35C5" w:rsidRDefault="00C93E98" w:rsidP="002B35C5">
      <w:pPr>
        <w:spacing w:before="120" w:after="240" w:line="19" w:lineRule="atLeast"/>
        <w:jc w:val="both"/>
        <w:rPr>
          <w:rFonts w:ascii="Palatino Linotype" w:eastAsia="MyriadPro-Regular" w:hAnsi="Palatino Linotype" w:cs="Calibri"/>
          <w:bCs/>
          <w:sz w:val="18"/>
          <w:szCs w:val="18"/>
          <w:lang w:val="en-US"/>
        </w:rPr>
      </w:pPr>
      <w:r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pict w14:anchorId="2AE3189D">
          <v:shape id="_x0000_i1026" type="#_x0000_t75" style="width:289.5pt;height:257.25pt">
            <v:imagedata r:id="rId7" o:title="M21 interaction FITC-P CPM RMN 2D"/>
          </v:shape>
        </w:pict>
      </w:r>
    </w:p>
    <w:p w14:paraId="5D72E513" w14:textId="67344BFC" w:rsidR="00695995" w:rsidRPr="00C93E98" w:rsidRDefault="00914EE3" w:rsidP="002B35C5">
      <w:pPr>
        <w:spacing w:before="120" w:after="240" w:line="19" w:lineRule="atLeast"/>
        <w:jc w:val="both"/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</w:pPr>
      <w:r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Fig</w:t>
      </w:r>
      <w:r w:rsidR="002B35C5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ure</w:t>
      </w:r>
      <w:r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 xml:space="preserve"> </w:t>
      </w:r>
      <w:r w:rsidR="002B35C5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S</w:t>
      </w:r>
      <w:r w:rsidR="00474E0A"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3</w:t>
      </w:r>
      <w:r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 xml:space="preserve">: </w:t>
      </w:r>
      <w:r w:rsidR="00695995"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 xml:space="preserve">CPM does not perturb the complex between </w:t>
      </w:r>
      <w:r w:rsidR="00695995" w:rsidRPr="00237F8C">
        <w:rPr>
          <w:rFonts w:ascii="Palatino Linotype" w:eastAsia="MyriadPro-Regular" w:hAnsi="Palatino Linotype" w:cs="Calibri"/>
          <w:b/>
          <w:bCs/>
          <w:sz w:val="18"/>
          <w:szCs w:val="18"/>
          <w:vertAlign w:val="superscript"/>
          <w:lang w:val="en-US"/>
        </w:rPr>
        <w:t>15</w:t>
      </w:r>
      <w:r w:rsidR="00695995"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 xml:space="preserve">N-labeled M2-1core domain and </w:t>
      </w:r>
      <w:r w:rsidR="00474E0A"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 xml:space="preserve">the </w:t>
      </w:r>
      <w:r w:rsidR="00695995"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FITC-P</w:t>
      </w:r>
      <w:r w:rsidR="00695995" w:rsidRPr="00237F8C">
        <w:rPr>
          <w:rFonts w:ascii="Palatino Linotype" w:eastAsia="MyriadPro-Regular" w:hAnsi="Palatino Linotype" w:cs="Calibri"/>
          <w:b/>
          <w:bCs/>
          <w:sz w:val="18"/>
          <w:szCs w:val="18"/>
          <w:vertAlign w:val="subscript"/>
          <w:lang w:val="en-US"/>
        </w:rPr>
        <w:t>95-112</w:t>
      </w:r>
      <w:r w:rsidR="00474E0A"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 xml:space="preserve"> peptide.</w:t>
      </w:r>
      <w:r w:rsidR="00695995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 </w:t>
      </w:r>
      <w:r w:rsidR="00695995" w:rsidRPr="00237F8C">
        <w:rPr>
          <w:rFonts w:ascii="Palatino Linotype" w:eastAsia="MyriadPro-Regular" w:hAnsi="Palatino Linotype" w:cstheme="minorHAnsi"/>
          <w:bCs/>
          <w:sz w:val="18"/>
          <w:szCs w:val="18"/>
          <w:vertAlign w:val="superscript"/>
          <w:lang w:val="en-US"/>
        </w:rPr>
        <w:t>1</w:t>
      </w:r>
      <w:r w:rsidR="00695995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>H-</w:t>
      </w:r>
      <w:r w:rsidR="00695995" w:rsidRPr="00237F8C">
        <w:rPr>
          <w:rFonts w:ascii="Palatino Linotype" w:eastAsia="MyriadPro-Regular" w:hAnsi="Palatino Linotype" w:cstheme="minorHAnsi"/>
          <w:bCs/>
          <w:sz w:val="18"/>
          <w:szCs w:val="18"/>
          <w:vertAlign w:val="superscript"/>
          <w:lang w:val="en-US"/>
        </w:rPr>
        <w:t>15</w:t>
      </w:r>
      <w:r w:rsidR="00695995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N BTROSY spectra of </w:t>
      </w:r>
      <w:r w:rsidR="00695995" w:rsidRPr="00237F8C">
        <w:rPr>
          <w:rFonts w:ascii="Palatino Linotype" w:eastAsia="MyriadPro-Regular" w:hAnsi="Palatino Linotype" w:cstheme="minorHAnsi"/>
          <w:bCs/>
          <w:sz w:val="18"/>
          <w:szCs w:val="18"/>
          <w:vertAlign w:val="superscript"/>
          <w:lang w:val="en-US"/>
        </w:rPr>
        <w:t>15</w:t>
      </w:r>
      <w:r w:rsidR="00695995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>N-labeled wild-type M2-1core domain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 (100 µM)</w:t>
      </w:r>
      <w:r w:rsidR="00695995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 in complex with FITC-P</w:t>
      </w:r>
      <w:r w:rsidR="00474E0A" w:rsidRPr="00237F8C">
        <w:rPr>
          <w:rFonts w:ascii="Palatino Linotype" w:eastAsia="MyriadPro-Regular" w:hAnsi="Palatino Linotype" w:cstheme="minorHAnsi"/>
          <w:bCs/>
          <w:sz w:val="18"/>
          <w:szCs w:val="18"/>
          <w:vertAlign w:val="subscript"/>
          <w:lang w:val="en-US"/>
        </w:rPr>
        <w:t>95-112</w:t>
      </w:r>
      <w:r w:rsidR="00695995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 peptide in a 0.25:1 ratio before (yellow) and after (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>purple</w:t>
      </w:r>
      <w:r w:rsidR="00695995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) addition of 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1 molar equivalent of </w:t>
      </w:r>
      <w:r w:rsidR="00695995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CPM 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>(100</w:t>
      </w:r>
      <w:r w:rsidR="00695995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 µM final concentration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>).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 Measurements were done at 700 MHz 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vertAlign w:val="superscript"/>
          <w:lang w:val="en-US"/>
        </w:rPr>
        <w:t>1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>H frequency and at a temperature of 298K.</w:t>
      </w:r>
    </w:p>
    <w:p w14:paraId="6523C692" w14:textId="77777777" w:rsidR="00023AB6" w:rsidRPr="00237F8C" w:rsidRDefault="00023AB6" w:rsidP="002B35C5">
      <w:pPr>
        <w:spacing w:before="120" w:after="240" w:line="19" w:lineRule="atLeast"/>
        <w:jc w:val="both"/>
        <w:rPr>
          <w:rFonts w:ascii="Palatino Linotype" w:hAnsi="Palatino Linotype" w:cs="Calibri"/>
          <w:sz w:val="18"/>
          <w:szCs w:val="18"/>
          <w:lang w:val="en-US"/>
        </w:rPr>
      </w:pPr>
      <w:r w:rsidRPr="00237F8C">
        <w:rPr>
          <w:rFonts w:ascii="Palatino Linotype" w:hAnsi="Palatino Linotype" w:cs="Calibri"/>
          <w:noProof/>
          <w:sz w:val="18"/>
          <w:szCs w:val="18"/>
          <w:lang w:val="en-US"/>
        </w:rPr>
        <w:lastRenderedPageBreak/>
        <w:drawing>
          <wp:inline distT="0" distB="0" distL="0" distR="0" wp14:anchorId="2B72E87D" wp14:editId="273E4F69">
            <wp:extent cx="3562350" cy="4737359"/>
            <wp:effectExtent l="0" t="0" r="0" b="6350"/>
            <wp:docPr id="14" name="Image 14" descr="FITC-P95-112 1H 1D N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TC-P95-112 1H 1D NM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391" cy="474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F8C">
        <w:rPr>
          <w:rFonts w:ascii="Palatino Linotype" w:eastAsia="MyriadPro-Regular" w:hAnsi="Palatino Linotype" w:cs="Calibri"/>
          <w:bCs/>
          <w:noProof/>
          <w:sz w:val="18"/>
          <w:szCs w:val="18"/>
          <w:lang w:val="en-US"/>
        </w:rPr>
        <w:t xml:space="preserve"> </w:t>
      </w:r>
    </w:p>
    <w:p w14:paraId="6589A666" w14:textId="5C53F410" w:rsidR="002B35C5" w:rsidRPr="00237F8C" w:rsidRDefault="00023AB6" w:rsidP="002B35C5">
      <w:pPr>
        <w:spacing w:before="120" w:after="240" w:line="19" w:lineRule="atLeast"/>
        <w:jc w:val="both"/>
        <w:rPr>
          <w:rFonts w:ascii="Palatino Linotype" w:eastAsia="MyriadPro-Regular" w:hAnsi="Palatino Linotype" w:cs="Calibri"/>
          <w:bCs/>
          <w:sz w:val="18"/>
          <w:szCs w:val="18"/>
          <w:lang w:val="en-US"/>
        </w:rPr>
      </w:pPr>
      <w:r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Fig</w:t>
      </w:r>
      <w:r w:rsidR="002B35C5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ure</w:t>
      </w:r>
      <w:r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 xml:space="preserve"> </w:t>
      </w:r>
      <w:r w:rsidR="002B35C5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S</w:t>
      </w:r>
      <w:r w:rsidR="008F1AE4"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4</w:t>
      </w:r>
      <w:r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: Analysis of the interaction between FITC-P</w:t>
      </w:r>
      <w:r w:rsidRPr="00237F8C">
        <w:rPr>
          <w:rFonts w:ascii="Palatino Linotype" w:eastAsia="MyriadPro-Regular" w:hAnsi="Palatino Linotype" w:cs="Calibri"/>
          <w:b/>
          <w:bCs/>
          <w:sz w:val="18"/>
          <w:szCs w:val="18"/>
          <w:vertAlign w:val="subscript"/>
          <w:lang w:val="en-US"/>
        </w:rPr>
        <w:t>95-112</w:t>
      </w:r>
      <w:r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 xml:space="preserve"> and CPM by NMR. 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1D 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vertAlign w:val="superscript"/>
          <w:lang w:val="en-US"/>
        </w:rPr>
        <w:t>1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H NMR spectra were acquired with water suppression by excitation sculpting at 700 MHz 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vertAlign w:val="superscript"/>
          <w:lang w:val="en-US"/>
        </w:rPr>
        <w:t>1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H frequency </w:t>
      </w:r>
      <w:r w:rsidR="00474E0A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and 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>at a temperature of 298K for FITC-P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vertAlign w:val="subscript"/>
          <w:lang w:val="en-US"/>
        </w:rPr>
        <w:t>95-112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 alone (100 µM), CPM alone (50 µM) and an equimolar mixture of both</w:t>
      </w:r>
      <w:r w:rsidR="00474E0A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 (100 µM both)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>, under the same buffer conditions (phosphate saline at pH 6.8). Samples with CPM contained 0.8 % DMSO-d6. 50 µM DSS was used as a chemical shift reference. The DSS signal at 0 ppm is not shown, but the DSS signals around 0.65 and 2.9 ppm are indicated. Impurities contained in the buffer are indicated by a star. Vertical lines indicate displacement of CPM (green) FITC-P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vertAlign w:val="subscript"/>
          <w:lang w:val="en-US"/>
        </w:rPr>
        <w:t>95-112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 (blue) signals.</w:t>
      </w:r>
    </w:p>
    <w:p w14:paraId="430DC0B8" w14:textId="72D128AE" w:rsidR="00372178" w:rsidRPr="00237F8C" w:rsidRDefault="00372178" w:rsidP="002B35C5">
      <w:pPr>
        <w:spacing w:before="120" w:after="240" w:line="19" w:lineRule="atLeast"/>
        <w:rPr>
          <w:rFonts w:ascii="Palatino Linotype" w:hAnsi="Palatino Linotype"/>
          <w:i/>
          <w:iCs/>
          <w:sz w:val="18"/>
          <w:szCs w:val="18"/>
        </w:rPr>
      </w:pPr>
      <w:r w:rsidRPr="00237F8C">
        <w:rPr>
          <w:rFonts w:ascii="Palatino Linotype" w:hAnsi="Palatino Linotype"/>
          <w:i/>
          <w:iCs/>
          <w:noProof/>
          <w:sz w:val="18"/>
          <w:szCs w:val="18"/>
          <w:lang w:val="en-US"/>
        </w:rPr>
        <w:drawing>
          <wp:inline distT="0" distB="0" distL="0" distR="0" wp14:anchorId="5D52690B" wp14:editId="74F856F9">
            <wp:extent cx="4724400" cy="2841171"/>
            <wp:effectExtent l="0" t="0" r="0" b="0"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2420" name="Image 17318242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987" cy="285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9C686" w14:textId="35CDD304" w:rsidR="002B35C5" w:rsidRPr="00C93E98" w:rsidRDefault="00372178" w:rsidP="000F379E">
      <w:pPr>
        <w:spacing w:before="120" w:after="240" w:line="19" w:lineRule="atLeast"/>
        <w:jc w:val="both"/>
        <w:rPr>
          <w:rFonts w:ascii="Palatino Linotype" w:hAnsi="Palatino Linotype" w:cs="Calibri"/>
          <w:iCs/>
          <w:sz w:val="18"/>
          <w:szCs w:val="18"/>
          <w:lang w:val="en-US"/>
        </w:rPr>
      </w:pPr>
      <w:r w:rsidRPr="00237F8C">
        <w:rPr>
          <w:rFonts w:ascii="Palatino Linotype" w:hAnsi="Palatino Linotype"/>
          <w:b/>
          <w:bCs/>
          <w:iCs/>
          <w:sz w:val="18"/>
          <w:szCs w:val="18"/>
          <w:lang w:val="en-US"/>
        </w:rPr>
        <w:t>Fig</w:t>
      </w:r>
      <w:r w:rsidR="002B35C5">
        <w:rPr>
          <w:rFonts w:ascii="Palatino Linotype" w:hAnsi="Palatino Linotype"/>
          <w:b/>
          <w:bCs/>
          <w:iCs/>
          <w:sz w:val="18"/>
          <w:szCs w:val="18"/>
          <w:lang w:val="en-US"/>
        </w:rPr>
        <w:t>ure</w:t>
      </w:r>
      <w:r w:rsidRPr="00237F8C">
        <w:rPr>
          <w:rFonts w:ascii="Palatino Linotype" w:hAnsi="Palatino Linotype"/>
          <w:b/>
          <w:bCs/>
          <w:iCs/>
          <w:sz w:val="18"/>
          <w:szCs w:val="18"/>
          <w:lang w:val="en-US"/>
        </w:rPr>
        <w:t xml:space="preserve"> </w:t>
      </w:r>
      <w:r w:rsidR="002B35C5">
        <w:rPr>
          <w:rFonts w:ascii="Palatino Linotype" w:hAnsi="Palatino Linotype"/>
          <w:b/>
          <w:bCs/>
          <w:iCs/>
          <w:sz w:val="18"/>
          <w:szCs w:val="18"/>
          <w:lang w:val="en-US"/>
        </w:rPr>
        <w:t>S</w:t>
      </w:r>
      <w:r w:rsidRPr="00237F8C">
        <w:rPr>
          <w:rFonts w:ascii="Palatino Linotype" w:hAnsi="Palatino Linotype"/>
          <w:b/>
          <w:bCs/>
          <w:iCs/>
          <w:sz w:val="18"/>
          <w:szCs w:val="18"/>
          <w:lang w:val="en-US"/>
        </w:rPr>
        <w:t>5: CPM does not affect the affinity of the complex between M2-1 core domain and P</w:t>
      </w:r>
      <w:r w:rsidRPr="00237F8C">
        <w:rPr>
          <w:rFonts w:ascii="Palatino Linotype" w:hAnsi="Palatino Linotype"/>
          <w:b/>
          <w:bCs/>
          <w:iCs/>
          <w:sz w:val="18"/>
          <w:szCs w:val="18"/>
          <w:vertAlign w:val="subscript"/>
          <w:lang w:val="en-US"/>
        </w:rPr>
        <w:t>90-11</w:t>
      </w:r>
      <w:r w:rsidR="00416325" w:rsidRPr="00237F8C">
        <w:rPr>
          <w:rFonts w:ascii="Palatino Linotype" w:hAnsi="Palatino Linotype"/>
          <w:b/>
          <w:bCs/>
          <w:iCs/>
          <w:sz w:val="18"/>
          <w:szCs w:val="18"/>
          <w:vertAlign w:val="subscript"/>
          <w:lang w:val="en-US"/>
        </w:rPr>
        <w:t>2</w:t>
      </w:r>
      <w:r w:rsidRPr="00237F8C">
        <w:rPr>
          <w:rFonts w:ascii="Palatino Linotype" w:hAnsi="Palatino Linotype"/>
          <w:b/>
          <w:bCs/>
          <w:iCs/>
          <w:sz w:val="18"/>
          <w:szCs w:val="18"/>
          <w:lang w:val="en-US"/>
        </w:rPr>
        <w:t xml:space="preserve"> peptide.</w:t>
      </w:r>
      <w:r w:rsidR="00416325" w:rsidRPr="00237F8C">
        <w:rPr>
          <w:rFonts w:ascii="Palatino Linotype" w:hAnsi="Palatino Linotype"/>
          <w:iCs/>
          <w:sz w:val="18"/>
          <w:szCs w:val="18"/>
          <w:lang w:val="en-US"/>
        </w:rPr>
        <w:t xml:space="preserve"> </w:t>
      </w:r>
      <w:r w:rsidRPr="00237F8C">
        <w:rPr>
          <w:rFonts w:ascii="Palatino Linotype" w:hAnsi="Palatino Linotype"/>
          <w:iCs/>
          <w:sz w:val="18"/>
          <w:szCs w:val="18"/>
          <w:lang w:val="en-US"/>
        </w:rPr>
        <w:t xml:space="preserve">Microscale Thermophoresis analysis of the titration of 100 </w:t>
      </w:r>
      <w:proofErr w:type="spellStart"/>
      <w:r w:rsidRPr="00237F8C">
        <w:rPr>
          <w:rFonts w:ascii="Palatino Linotype" w:hAnsi="Palatino Linotype"/>
          <w:iCs/>
          <w:sz w:val="18"/>
          <w:szCs w:val="18"/>
          <w:lang w:val="en-US"/>
        </w:rPr>
        <w:t>nM</w:t>
      </w:r>
      <w:proofErr w:type="spellEnd"/>
      <w:r w:rsidRPr="00237F8C">
        <w:rPr>
          <w:rFonts w:ascii="Palatino Linotype" w:hAnsi="Palatino Linotype"/>
          <w:iCs/>
          <w:sz w:val="18"/>
          <w:szCs w:val="18"/>
          <w:lang w:val="en-US"/>
        </w:rPr>
        <w:t xml:space="preserve"> FITC-P</w:t>
      </w:r>
      <w:r w:rsidRPr="00237F8C">
        <w:rPr>
          <w:rFonts w:ascii="Palatino Linotype" w:hAnsi="Palatino Linotype"/>
          <w:iCs/>
          <w:sz w:val="18"/>
          <w:szCs w:val="18"/>
          <w:vertAlign w:val="subscript"/>
          <w:lang w:val="en-US"/>
        </w:rPr>
        <w:t>90-11</w:t>
      </w:r>
      <w:r w:rsidR="00416325" w:rsidRPr="00237F8C">
        <w:rPr>
          <w:rFonts w:ascii="Palatino Linotype" w:hAnsi="Palatino Linotype"/>
          <w:iCs/>
          <w:sz w:val="18"/>
          <w:szCs w:val="18"/>
          <w:vertAlign w:val="subscript"/>
          <w:lang w:val="en-US"/>
        </w:rPr>
        <w:t>2</w:t>
      </w:r>
      <w:r w:rsidRPr="00237F8C">
        <w:rPr>
          <w:rFonts w:ascii="Palatino Linotype" w:hAnsi="Palatino Linotype"/>
          <w:iCs/>
          <w:sz w:val="18"/>
          <w:szCs w:val="18"/>
          <w:lang w:val="en-US"/>
        </w:rPr>
        <w:t xml:space="preserve"> peptide with an increasing amount of </w:t>
      </w:r>
      <w:r w:rsidRPr="00237F8C">
        <w:rPr>
          <w:rFonts w:ascii="Palatino Linotype" w:hAnsi="Palatino Linotype"/>
          <w:iCs/>
          <w:sz w:val="18"/>
          <w:szCs w:val="18"/>
          <w:lang w:val="en-US"/>
        </w:rPr>
        <w:lastRenderedPageBreak/>
        <w:t xml:space="preserve">M2-1core domain, either in absence of CPM (red dots) or in presence of 1 </w:t>
      </w:r>
      <w:r w:rsidRPr="00237F8C">
        <w:rPr>
          <w:rFonts w:ascii="Palatino Linotype" w:hAnsi="Palatino Linotype" w:cs="Arial"/>
          <w:sz w:val="18"/>
          <w:szCs w:val="18"/>
        </w:rPr>
        <w:sym w:font="Symbol" w:char="F06D"/>
      </w:r>
      <w:r w:rsidRPr="00237F8C">
        <w:rPr>
          <w:rFonts w:ascii="Palatino Linotype" w:hAnsi="Palatino Linotype"/>
          <w:iCs/>
          <w:sz w:val="18"/>
          <w:szCs w:val="18"/>
          <w:lang w:val="en-US"/>
        </w:rPr>
        <w:t xml:space="preserve">M (black dots) or 10 </w:t>
      </w:r>
      <w:r w:rsidRPr="00237F8C">
        <w:rPr>
          <w:rFonts w:ascii="Palatino Linotype" w:hAnsi="Palatino Linotype" w:cs="Arial"/>
          <w:sz w:val="18"/>
          <w:szCs w:val="18"/>
        </w:rPr>
        <w:sym w:font="Symbol" w:char="F06D"/>
      </w:r>
      <w:r w:rsidRPr="00237F8C">
        <w:rPr>
          <w:rFonts w:ascii="Palatino Linotype" w:hAnsi="Palatino Linotype"/>
          <w:iCs/>
          <w:sz w:val="18"/>
          <w:szCs w:val="18"/>
          <w:lang w:val="en-US"/>
        </w:rPr>
        <w:t xml:space="preserve">M (green dots) CPM. Data are presented as mean </w:t>
      </w:r>
      <w:r w:rsidRPr="00237F8C">
        <w:rPr>
          <w:rFonts w:ascii="Palatino Linotype" w:hAnsi="Palatino Linotype" w:cs="Calibri"/>
          <w:iCs/>
          <w:sz w:val="18"/>
          <w:szCs w:val="18"/>
          <w:lang w:val="en-US"/>
        </w:rPr>
        <w:t>± SD of two independent experiments</w:t>
      </w:r>
      <w:r w:rsidR="00416325" w:rsidRPr="00237F8C">
        <w:rPr>
          <w:rFonts w:ascii="Palatino Linotype" w:hAnsi="Palatino Linotype" w:cs="Calibri"/>
          <w:iCs/>
          <w:sz w:val="18"/>
          <w:szCs w:val="18"/>
          <w:lang w:val="en-US"/>
        </w:rPr>
        <w:t>, except for the condition 10 µM which was tested one time</w:t>
      </w:r>
      <w:r w:rsidRPr="00237F8C">
        <w:rPr>
          <w:rFonts w:ascii="Palatino Linotype" w:hAnsi="Palatino Linotype" w:cs="Calibri"/>
          <w:iCs/>
          <w:sz w:val="18"/>
          <w:szCs w:val="18"/>
          <w:lang w:val="en-US"/>
        </w:rPr>
        <w:t xml:space="preserve">. They were </w:t>
      </w:r>
      <w:proofErr w:type="spellStart"/>
      <w:r w:rsidRPr="00237F8C">
        <w:rPr>
          <w:rFonts w:ascii="Palatino Linotype" w:hAnsi="Palatino Linotype" w:cs="Calibri"/>
          <w:iCs/>
          <w:sz w:val="18"/>
          <w:szCs w:val="18"/>
          <w:lang w:val="en-US"/>
        </w:rPr>
        <w:t>analysed</w:t>
      </w:r>
      <w:proofErr w:type="spellEnd"/>
      <w:r w:rsidRPr="00237F8C">
        <w:rPr>
          <w:rFonts w:ascii="Palatino Linotype" w:hAnsi="Palatino Linotype" w:cs="Calibri"/>
          <w:iCs/>
          <w:sz w:val="18"/>
          <w:szCs w:val="18"/>
          <w:lang w:val="en-US"/>
        </w:rPr>
        <w:t xml:space="preserve"> using the temperature-jump phase and the standard fitting mode derived from law of mass action.</w:t>
      </w:r>
    </w:p>
    <w:p w14:paraId="19DAA0E0" w14:textId="77777777" w:rsidR="002B35C5" w:rsidRDefault="000238A3" w:rsidP="000F379E">
      <w:pPr>
        <w:spacing w:before="120" w:after="240" w:line="19" w:lineRule="atLeast"/>
        <w:jc w:val="both"/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</w:pPr>
      <w:r w:rsidRPr="00237F8C">
        <w:rPr>
          <w:rFonts w:ascii="Palatino Linotype" w:eastAsia="MyriadPro-Regular" w:hAnsi="Palatino Linotype" w:cstheme="minorHAnsi"/>
          <w:bCs/>
          <w:noProof/>
          <w:sz w:val="18"/>
          <w:szCs w:val="18"/>
          <w:lang w:val="en-US"/>
        </w:rPr>
        <w:drawing>
          <wp:inline distT="0" distB="0" distL="0" distR="0" wp14:anchorId="455D9C14" wp14:editId="0BCFD8F4">
            <wp:extent cx="3955733" cy="3511899"/>
            <wp:effectExtent l="0" t="0" r="6985" b="0"/>
            <wp:docPr id="16" name="Image 16" descr="C:\Users\sizun\AppData\Local\Microsoft\Windows\INetCache\Content.Word\M21 WT R151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izun\AppData\Local\Microsoft\Windows\INetCache\Content.Word\M21 WT R151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50" cy="351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3AE2A" w14:textId="3FB48617" w:rsidR="00362FBB" w:rsidRPr="00C93E98" w:rsidRDefault="00332F9E" w:rsidP="000F379E">
      <w:pPr>
        <w:spacing w:before="120" w:after="240" w:line="19" w:lineRule="atLeast"/>
        <w:jc w:val="both"/>
        <w:rPr>
          <w:rFonts w:ascii="Palatino Linotype" w:eastAsia="MyriadPro-Regular" w:hAnsi="Palatino Linotype" w:cs="Calibri"/>
          <w:bCs/>
          <w:sz w:val="18"/>
          <w:szCs w:val="18"/>
          <w:lang w:val="en-US"/>
        </w:rPr>
      </w:pPr>
      <w:r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Fig</w:t>
      </w:r>
      <w:r w:rsidR="002B35C5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ure</w:t>
      </w:r>
      <w:r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 xml:space="preserve"> </w:t>
      </w:r>
      <w:r w:rsidR="002B35C5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S</w:t>
      </w:r>
      <w:r w:rsidR="00372178"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6</w:t>
      </w:r>
      <w:r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 xml:space="preserve">: Impact of the R151K mutation on the structure of M2-1. 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vertAlign w:val="superscript"/>
          <w:lang w:val="en-US"/>
        </w:rPr>
        <w:t>1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>H-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vertAlign w:val="superscript"/>
          <w:lang w:val="en-US"/>
        </w:rPr>
        <w:t>15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N BTROSY spectra of 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vertAlign w:val="superscript"/>
          <w:lang w:val="en-US"/>
        </w:rPr>
        <w:t>15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N-labeled </w:t>
      </w:r>
      <w:r w:rsidR="00416325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>WT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 (</w:t>
      </w:r>
      <w:r w:rsidR="000238A3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>red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 contours) and R151K (</w:t>
      </w:r>
      <w:r w:rsidR="000238A3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>black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 contours) M2-1core domain are superimposed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. </w:t>
      </w:r>
      <w:r w:rsidR="00987378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Measurements were done at 700 MHz </w:t>
      </w:r>
      <w:r w:rsidR="00987378" w:rsidRPr="00237F8C">
        <w:rPr>
          <w:rFonts w:ascii="Palatino Linotype" w:eastAsia="MyriadPro-Regular" w:hAnsi="Palatino Linotype" w:cs="Calibri"/>
          <w:bCs/>
          <w:sz w:val="18"/>
          <w:szCs w:val="18"/>
          <w:vertAlign w:val="superscript"/>
          <w:lang w:val="en-US"/>
        </w:rPr>
        <w:t>1</w:t>
      </w:r>
      <w:r w:rsidR="00987378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H frequency and at a temperature of 298K. 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The </w:t>
      </w:r>
      <w:r w:rsidR="00987378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>R151K</w:t>
      </w:r>
      <w:r w:rsidR="00987378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 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mutation induces only small chemical shift perturbations around the mutated residue. Amide signals are annotated with the corresponding residue number. </w:t>
      </w:r>
    </w:p>
    <w:p w14:paraId="7F148960" w14:textId="14D53CCF" w:rsidR="00332F9E" w:rsidRPr="00237F8C" w:rsidRDefault="00332F9E" w:rsidP="002B35C5">
      <w:pPr>
        <w:spacing w:before="120" w:after="240" w:line="19" w:lineRule="atLeast"/>
        <w:jc w:val="both"/>
        <w:rPr>
          <w:rFonts w:ascii="Palatino Linotype" w:hAnsi="Palatino Linotype" w:cs="Calibri"/>
          <w:sz w:val="18"/>
          <w:szCs w:val="18"/>
          <w:lang w:val="en-US"/>
        </w:rPr>
      </w:pPr>
      <w:r w:rsidRPr="00237F8C">
        <w:rPr>
          <w:rFonts w:ascii="Palatino Linotype" w:eastAsia="MyriadPro-Regular" w:hAnsi="Palatino Linotype" w:cs="Calibri"/>
          <w:b/>
          <w:bCs/>
          <w:noProof/>
          <w:sz w:val="18"/>
          <w:szCs w:val="18"/>
          <w:lang w:val="en-US"/>
        </w:rPr>
        <w:drawing>
          <wp:inline distT="0" distB="0" distL="0" distR="0" wp14:anchorId="5022E4E1" wp14:editId="7042615F">
            <wp:extent cx="3678287" cy="1670050"/>
            <wp:effectExtent l="0" t="0" r="0" b="63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3230" cy="16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B9F8E" w14:textId="5335B766" w:rsidR="006262E1" w:rsidRPr="00C93E98" w:rsidRDefault="00813CC0" w:rsidP="00C93E98">
      <w:pPr>
        <w:spacing w:before="120" w:after="240" w:line="19" w:lineRule="atLeast"/>
        <w:jc w:val="both"/>
        <w:rPr>
          <w:rFonts w:ascii="Palatino Linotype" w:eastAsia="MyriadPro-Regular" w:hAnsi="Palatino Linotype" w:cs="Calibri"/>
          <w:bCs/>
          <w:sz w:val="18"/>
          <w:szCs w:val="18"/>
          <w:lang w:val="en-US"/>
        </w:rPr>
      </w:pPr>
      <w:r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Fig</w:t>
      </w:r>
      <w:r w:rsidR="002B35C5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ure</w:t>
      </w:r>
      <w:r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 xml:space="preserve"> </w:t>
      </w:r>
      <w:r w:rsidR="002B35C5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S</w:t>
      </w:r>
      <w:r w:rsidR="00372178"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>7</w:t>
      </w:r>
      <w:r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 xml:space="preserve">: Impact </w:t>
      </w:r>
      <w:r w:rsidR="00DB0539" w:rsidRPr="00237F8C">
        <w:rPr>
          <w:rFonts w:ascii="Palatino Linotype" w:eastAsia="MyriadPro-Regular" w:hAnsi="Palatino Linotype" w:cs="Calibri"/>
          <w:b/>
          <w:bCs/>
          <w:sz w:val="18"/>
          <w:szCs w:val="18"/>
          <w:lang w:val="en-US"/>
        </w:rPr>
        <w:t xml:space="preserve">of the Y102L mutation on the conformation of the M2-1 binding motif in RSV P. 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Secondary structure propensities </w:t>
      </w:r>
      <w:r w:rsidR="00DB0539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were 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predicted </w:t>
      </w:r>
      <w:r w:rsidR="00DB0539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using PEP-FOLD 3.5 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for </w:t>
      </w:r>
      <w:r w:rsidR="00DB0539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>peptides containing residues 95-</w:t>
      </w:r>
      <w:r w:rsidR="00416325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109 </w:t>
      </w:r>
      <w:r w:rsidR="00DB0539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>of P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. 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>The probabilit</w:t>
      </w:r>
      <w:r w:rsidR="00DB0539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>ies</w:t>
      </w:r>
      <w:r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 xml:space="preserve"> of helical (red), coil (blue) and extended (green) secondary structure </w:t>
      </w:r>
      <w:r w:rsidR="00DB0539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>are shown in bar diagrams for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 each residue in wild-type </w:t>
      </w:r>
      <w:r w:rsidR="00DB0539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>and the Y102L mutant</w:t>
      </w:r>
      <w:r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>.</w:t>
      </w:r>
      <w:r w:rsidR="00077CB4" w:rsidRPr="00237F8C">
        <w:rPr>
          <w:rFonts w:ascii="Palatino Linotype" w:eastAsia="MyriadPro-Regular" w:hAnsi="Palatino Linotype" w:cs="Calibri"/>
          <w:bCs/>
          <w:sz w:val="18"/>
          <w:szCs w:val="18"/>
          <w:lang w:val="en-GB"/>
        </w:rPr>
        <w:t xml:space="preserve"> </w:t>
      </w:r>
      <w:r w:rsidR="00077CB4" w:rsidRPr="00237F8C">
        <w:rPr>
          <w:rFonts w:ascii="Palatino Linotype" w:eastAsia="MyriadPro-Regular" w:hAnsi="Palatino Linotype" w:cs="Calibri"/>
          <w:bCs/>
          <w:sz w:val="18"/>
          <w:szCs w:val="18"/>
          <w:lang w:val="en-US"/>
        </w:rPr>
        <w:t xml:space="preserve">Both peptides are predicted </w:t>
      </w:r>
      <w:r w:rsidR="00077CB4" w:rsidRPr="00237F8C">
        <w:rPr>
          <w:rFonts w:ascii="Palatino Linotype" w:eastAsia="MyriadPro-Regular" w:hAnsi="Palatino Linotype" w:cstheme="minorHAnsi"/>
          <w:bCs/>
          <w:sz w:val="18"/>
          <w:szCs w:val="18"/>
          <w:lang w:val="en-US"/>
        </w:rPr>
        <w:t>with high α-helical propensity.</w:t>
      </w:r>
    </w:p>
    <w:sectPr w:rsidR="006262E1" w:rsidRPr="00C93E98" w:rsidSect="00C93E98">
      <w:pgSz w:w="11906" w:h="16838"/>
      <w:pgMar w:top="568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Pro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54"/>
    <w:rsid w:val="000011A7"/>
    <w:rsid w:val="00021D01"/>
    <w:rsid w:val="000238A3"/>
    <w:rsid w:val="00023AB6"/>
    <w:rsid w:val="00040A86"/>
    <w:rsid w:val="00042C3A"/>
    <w:rsid w:val="00045E4C"/>
    <w:rsid w:val="000555CD"/>
    <w:rsid w:val="00073FC6"/>
    <w:rsid w:val="00077CB4"/>
    <w:rsid w:val="00090E38"/>
    <w:rsid w:val="000935A7"/>
    <w:rsid w:val="000C2157"/>
    <w:rsid w:val="000D32F3"/>
    <w:rsid w:val="000F379E"/>
    <w:rsid w:val="001314A4"/>
    <w:rsid w:val="00135C98"/>
    <w:rsid w:val="001950B9"/>
    <w:rsid w:val="001C41A0"/>
    <w:rsid w:val="002313A3"/>
    <w:rsid w:val="00237F8C"/>
    <w:rsid w:val="00281302"/>
    <w:rsid w:val="002A7E59"/>
    <w:rsid w:val="002B306D"/>
    <w:rsid w:val="002B35C5"/>
    <w:rsid w:val="002C33AC"/>
    <w:rsid w:val="00327304"/>
    <w:rsid w:val="0033237E"/>
    <w:rsid w:val="00332F9E"/>
    <w:rsid w:val="003350F2"/>
    <w:rsid w:val="00340355"/>
    <w:rsid w:val="003438C7"/>
    <w:rsid w:val="00347014"/>
    <w:rsid w:val="00362FBB"/>
    <w:rsid w:val="00372178"/>
    <w:rsid w:val="003A5D00"/>
    <w:rsid w:val="003B0254"/>
    <w:rsid w:val="003C4491"/>
    <w:rsid w:val="003D71D2"/>
    <w:rsid w:val="004049C6"/>
    <w:rsid w:val="0041316A"/>
    <w:rsid w:val="00416325"/>
    <w:rsid w:val="00474E0A"/>
    <w:rsid w:val="004966FC"/>
    <w:rsid w:val="004A5D57"/>
    <w:rsid w:val="004B0DC2"/>
    <w:rsid w:val="004F2807"/>
    <w:rsid w:val="00505E25"/>
    <w:rsid w:val="005140BE"/>
    <w:rsid w:val="005273A1"/>
    <w:rsid w:val="00531098"/>
    <w:rsid w:val="005613C6"/>
    <w:rsid w:val="005A3B2B"/>
    <w:rsid w:val="005B1CBF"/>
    <w:rsid w:val="005C5631"/>
    <w:rsid w:val="005D1B55"/>
    <w:rsid w:val="00601ED3"/>
    <w:rsid w:val="006262E1"/>
    <w:rsid w:val="00635EB4"/>
    <w:rsid w:val="006457F9"/>
    <w:rsid w:val="00652D2F"/>
    <w:rsid w:val="006659D0"/>
    <w:rsid w:val="006747C7"/>
    <w:rsid w:val="00695995"/>
    <w:rsid w:val="006A0BA8"/>
    <w:rsid w:val="006B648B"/>
    <w:rsid w:val="006E0A54"/>
    <w:rsid w:val="006E1070"/>
    <w:rsid w:val="007215AB"/>
    <w:rsid w:val="0072429A"/>
    <w:rsid w:val="00735CE5"/>
    <w:rsid w:val="00762400"/>
    <w:rsid w:val="007635A0"/>
    <w:rsid w:val="00774093"/>
    <w:rsid w:val="00780B1F"/>
    <w:rsid w:val="0079376F"/>
    <w:rsid w:val="007B1F20"/>
    <w:rsid w:val="007E2589"/>
    <w:rsid w:val="00803E47"/>
    <w:rsid w:val="00813CC0"/>
    <w:rsid w:val="008329DF"/>
    <w:rsid w:val="008419CF"/>
    <w:rsid w:val="00843454"/>
    <w:rsid w:val="00856201"/>
    <w:rsid w:val="008962D2"/>
    <w:rsid w:val="008A324F"/>
    <w:rsid w:val="008B1FAB"/>
    <w:rsid w:val="008C6A0B"/>
    <w:rsid w:val="008E4A25"/>
    <w:rsid w:val="008F1AE4"/>
    <w:rsid w:val="00914EE3"/>
    <w:rsid w:val="00920DA3"/>
    <w:rsid w:val="00930784"/>
    <w:rsid w:val="00933685"/>
    <w:rsid w:val="009452AC"/>
    <w:rsid w:val="00947C19"/>
    <w:rsid w:val="00987378"/>
    <w:rsid w:val="009A18EF"/>
    <w:rsid w:val="009B036F"/>
    <w:rsid w:val="009D56C4"/>
    <w:rsid w:val="009E3574"/>
    <w:rsid w:val="00A15CEE"/>
    <w:rsid w:val="00A2445C"/>
    <w:rsid w:val="00A553F0"/>
    <w:rsid w:val="00A635B2"/>
    <w:rsid w:val="00A70AF4"/>
    <w:rsid w:val="00AA57E0"/>
    <w:rsid w:val="00AB04B8"/>
    <w:rsid w:val="00AB2308"/>
    <w:rsid w:val="00AC20D4"/>
    <w:rsid w:val="00AE08E7"/>
    <w:rsid w:val="00AE7799"/>
    <w:rsid w:val="00B5225D"/>
    <w:rsid w:val="00B526F7"/>
    <w:rsid w:val="00B56612"/>
    <w:rsid w:val="00BC0E6D"/>
    <w:rsid w:val="00BC24BA"/>
    <w:rsid w:val="00BD0023"/>
    <w:rsid w:val="00C0264C"/>
    <w:rsid w:val="00C0636B"/>
    <w:rsid w:val="00C3206F"/>
    <w:rsid w:val="00C35880"/>
    <w:rsid w:val="00C66E2B"/>
    <w:rsid w:val="00C804FB"/>
    <w:rsid w:val="00C90ADF"/>
    <w:rsid w:val="00C93E98"/>
    <w:rsid w:val="00C97E7E"/>
    <w:rsid w:val="00CA0124"/>
    <w:rsid w:val="00D0472F"/>
    <w:rsid w:val="00D06D3D"/>
    <w:rsid w:val="00D15ABA"/>
    <w:rsid w:val="00D21945"/>
    <w:rsid w:val="00D22BF3"/>
    <w:rsid w:val="00D32943"/>
    <w:rsid w:val="00D4217C"/>
    <w:rsid w:val="00D52966"/>
    <w:rsid w:val="00DA7738"/>
    <w:rsid w:val="00DB0539"/>
    <w:rsid w:val="00DD1081"/>
    <w:rsid w:val="00DF151C"/>
    <w:rsid w:val="00E470FB"/>
    <w:rsid w:val="00E50020"/>
    <w:rsid w:val="00E61119"/>
    <w:rsid w:val="00E83029"/>
    <w:rsid w:val="00EA2F80"/>
    <w:rsid w:val="00F0707D"/>
    <w:rsid w:val="00F22CC9"/>
    <w:rsid w:val="00F628EE"/>
    <w:rsid w:val="00F7614A"/>
    <w:rsid w:val="00F7660D"/>
    <w:rsid w:val="00F821ED"/>
    <w:rsid w:val="00F876C6"/>
    <w:rsid w:val="00F9501D"/>
    <w:rsid w:val="00FC1134"/>
    <w:rsid w:val="00FC176C"/>
    <w:rsid w:val="00FC6820"/>
    <w:rsid w:val="00FE2548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77F0"/>
  <w15:chartTrackingRefBased/>
  <w15:docId w15:val="{D4237153-272C-49DE-B722-C685D6FC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25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B02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25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Spacing">
    <w:name w:val="No Spacing"/>
    <w:uiPriority w:val="1"/>
    <w:qFormat/>
    <w:rsid w:val="00735CE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lang w:val="en-GB"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rsid w:val="00735CE5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CE5"/>
    <w:rPr>
      <w:rFonts w:ascii="Calibri" w:eastAsia="Times New Roman" w:hAnsi="Calibri" w:cs="Times New Roman"/>
      <w:kern w:val="3"/>
      <w:sz w:val="20"/>
      <w:szCs w:val="20"/>
      <w:lang w:val="en-GB" w:eastAsia="en-GB"/>
      <w14:ligatures w14:val="none"/>
    </w:rPr>
  </w:style>
  <w:style w:type="character" w:styleId="CommentReference">
    <w:name w:val="annotation reference"/>
    <w:basedOn w:val="DefaultParagraphFont"/>
    <w:uiPriority w:val="99"/>
    <w:rsid w:val="00735CE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CE5"/>
    <w:rPr>
      <w:rFonts w:ascii="Segoe UI" w:hAnsi="Segoe UI" w:cs="Segoe UI"/>
      <w:kern w:val="0"/>
      <w:sz w:val="18"/>
      <w:szCs w:val="18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029"/>
    <w:pPr>
      <w:suppressAutoHyphens w:val="0"/>
      <w:autoSpaceDN/>
      <w:textAlignment w:val="auto"/>
    </w:pPr>
    <w:rPr>
      <w:rFonts w:asciiTheme="minorHAnsi" w:eastAsiaTheme="minorHAnsi" w:hAnsiTheme="minorHAnsi" w:cstheme="minorBidi"/>
      <w:b/>
      <w:bCs/>
      <w:kern w:val="0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029"/>
    <w:rPr>
      <w:rFonts w:ascii="Calibri" w:eastAsia="Times New Roman" w:hAnsi="Calibri" w:cs="Times New Roman"/>
      <w:b/>
      <w:bCs/>
      <w:kern w:val="0"/>
      <w:sz w:val="20"/>
      <w:szCs w:val="20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635A0"/>
    <w:pPr>
      <w:ind w:left="720"/>
      <w:contextualSpacing/>
    </w:pPr>
  </w:style>
  <w:style w:type="paragraph" w:styleId="Revision">
    <w:name w:val="Revision"/>
    <w:hidden/>
    <w:uiPriority w:val="99"/>
    <w:semiHidden/>
    <w:rsid w:val="000935A7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link w:val="StandardCar"/>
    <w:rsid w:val="006262E1"/>
    <w:pPr>
      <w:suppressAutoHyphens/>
      <w:autoSpaceDN w:val="0"/>
      <w:spacing w:line="249" w:lineRule="auto"/>
      <w:textAlignment w:val="baseline"/>
    </w:pPr>
    <w:rPr>
      <w:rFonts w:ascii="Calibri" w:eastAsia="Times New Roman" w:hAnsi="Calibri" w:cs="Times New Roman"/>
      <w:kern w:val="3"/>
      <w:lang w:val="en-GB" w:eastAsia="en-GB"/>
      <w14:ligatures w14:val="none"/>
    </w:rPr>
  </w:style>
  <w:style w:type="character" w:customStyle="1" w:styleId="StandardCar">
    <w:name w:val="Standard Car"/>
    <w:basedOn w:val="DefaultParagraphFont"/>
    <w:link w:val="Standard"/>
    <w:rsid w:val="006262E1"/>
    <w:rPr>
      <w:rFonts w:ascii="Calibri" w:eastAsia="Times New Roman" w:hAnsi="Calibri" w:cs="Times New Roman"/>
      <w:kern w:val="3"/>
      <w:lang w:val="en-GB" w:eastAsia="en-GB"/>
      <w14:ligatures w14:val="none"/>
    </w:rPr>
  </w:style>
  <w:style w:type="paragraph" w:customStyle="1" w:styleId="MDPI13authornames">
    <w:name w:val="MDPI_1.3_authornames"/>
    <w:next w:val="Normal"/>
    <w:qFormat/>
    <w:rsid w:val="00237F8C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14history">
    <w:name w:val="MDPI_1.4_history"/>
    <w:basedOn w:val="Normal"/>
    <w:next w:val="Normal"/>
    <w:qFormat/>
    <w:rsid w:val="00237F8C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val="en-US" w:eastAsia="de-DE" w:bidi="en-US"/>
    </w:rPr>
  </w:style>
  <w:style w:type="paragraph" w:customStyle="1" w:styleId="MDPI16affiliation">
    <w:name w:val="MDPI_1.6_affiliation"/>
    <w:qFormat/>
    <w:rsid w:val="00237F8C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character" w:styleId="Hyperlink">
    <w:name w:val="Hyperlink"/>
    <w:uiPriority w:val="99"/>
    <w:rsid w:val="00237F8C"/>
    <w:rPr>
      <w:color w:val="0000FF"/>
      <w:u w:val="single"/>
    </w:rPr>
  </w:style>
  <w:style w:type="paragraph" w:customStyle="1" w:styleId="MDPI61Citation">
    <w:name w:val="MDPI_6.1_Citation"/>
    <w:qFormat/>
    <w:rsid w:val="00237F8C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kern w:val="0"/>
      <w:sz w:val="14"/>
      <w:lang w:val="en-US" w:eastAsia="zh-CN"/>
      <w14:ligatures w14:val="none"/>
    </w:rPr>
  </w:style>
  <w:style w:type="paragraph" w:customStyle="1" w:styleId="MDPI72Copyright">
    <w:name w:val="MDPI_7.2_Copyright"/>
    <w:qFormat/>
    <w:rsid w:val="00237F8C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kern w:val="0"/>
      <w:sz w:val="14"/>
      <w:szCs w:val="20"/>
      <w:lang w:val="en-GB" w:eastAsia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C93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7CB5-8B90-4042-902D-50052852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651</Words>
  <Characters>3485</Characters>
  <Application>Microsoft Office Word</Application>
  <DocSecurity>0</DocSecurity>
  <Lines>48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 RAMEIX WELTI</dc:creator>
  <cp:keywords/>
  <dc:description/>
  <cp:lastModifiedBy>MDPI</cp:lastModifiedBy>
  <cp:revision>54</cp:revision>
  <dcterms:created xsi:type="dcterms:W3CDTF">2023-06-06T10:39:00Z</dcterms:created>
  <dcterms:modified xsi:type="dcterms:W3CDTF">2023-06-25T07:00:00Z</dcterms:modified>
</cp:coreProperties>
</file>