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6B7" w14:textId="5A778D52" w:rsidR="00190F54" w:rsidRPr="000F4E5A" w:rsidRDefault="00190F54" w:rsidP="00507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7F4E">
        <w:rPr>
          <w:rFonts w:ascii="Times New Roman" w:hAnsi="Times New Roman"/>
          <w:b/>
          <w:bCs/>
          <w:sz w:val="24"/>
          <w:szCs w:val="24"/>
          <w:lang w:val="en-US"/>
        </w:rPr>
        <w:t>Table</w:t>
      </w:r>
      <w:r w:rsidRPr="007B11C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507F4E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7B11CA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0F4E5A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Average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values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7DE4">
        <w:rPr>
          <w:rFonts w:ascii="Times New Roman" w:hAnsi="Times New Roman"/>
          <w:sz w:val="24"/>
          <w:szCs w:val="24"/>
          <w:lang w:val="en-US"/>
        </w:rPr>
        <w:t xml:space="preserve">concentrations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different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groups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PAEs monitoring results in Lake Baikal waters</w:t>
      </w:r>
      <w:r w:rsidR="00547DE4" w:rsidRPr="00547D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7DE4" w:rsidRPr="00640A47">
        <w:rPr>
          <w:rFonts w:ascii="Times New Roman" w:hAnsi="Times New Roman"/>
          <w:sz w:val="24"/>
          <w:szCs w:val="24"/>
          <w:lang w:val="en-US"/>
        </w:rPr>
        <w:t>(</w:t>
      </w:r>
      <w:r w:rsidR="00547DE4">
        <w:rPr>
          <w:rFonts w:ascii="Times New Roman" w:hAnsi="Times New Roman"/>
          <w:sz w:val="24"/>
          <w:szCs w:val="24"/>
          <w:lang w:val="en-US"/>
        </w:rPr>
        <w:t>confidence</w:t>
      </w:r>
      <w:r w:rsidR="00547DE4"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7DE4">
        <w:rPr>
          <w:rFonts w:ascii="Times New Roman" w:hAnsi="Times New Roman"/>
          <w:sz w:val="24"/>
          <w:szCs w:val="24"/>
          <w:lang w:val="en-US"/>
        </w:rPr>
        <w:t>intervals</w:t>
      </w:r>
      <w:r w:rsidR="00547DE4" w:rsidRPr="00640A4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47DE4">
        <w:rPr>
          <w:rFonts w:ascii="Times New Roman" w:hAnsi="Times New Roman"/>
          <w:sz w:val="24"/>
          <w:szCs w:val="24"/>
          <w:lang w:val="en-US"/>
        </w:rPr>
        <w:t>P</w:t>
      </w:r>
      <w:r w:rsidR="00547DE4" w:rsidRPr="00640A47">
        <w:rPr>
          <w:rFonts w:ascii="Times New Roman" w:hAnsi="Times New Roman"/>
          <w:sz w:val="24"/>
          <w:szCs w:val="24"/>
          <w:lang w:val="en-US"/>
        </w:rPr>
        <w:t>=0.95)</w:t>
      </w:r>
      <w:r w:rsidR="00547DE4">
        <w:rPr>
          <w:rFonts w:ascii="Times New Roman" w:hAnsi="Times New Roman"/>
          <w:sz w:val="24"/>
          <w:szCs w:val="24"/>
          <w:lang w:val="en-US"/>
        </w:rPr>
        <w:t>.</w:t>
      </w:r>
      <w:r w:rsidRPr="00640A4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 confidence intervals are calculated using boot strap method</w:t>
      </w:r>
    </w:p>
    <w:p w14:paraId="04FF97EC" w14:textId="77777777" w:rsidR="00190F54" w:rsidRPr="000F4E5A" w:rsidRDefault="00190F54" w:rsidP="00507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067" w:type="dxa"/>
        <w:jc w:val="center"/>
        <w:tblLook w:val="00A0" w:firstRow="1" w:lastRow="0" w:firstColumn="1" w:lastColumn="0" w:noHBand="0" w:noVBand="0"/>
      </w:tblPr>
      <w:tblGrid>
        <w:gridCol w:w="1980"/>
        <w:gridCol w:w="1843"/>
        <w:gridCol w:w="1701"/>
        <w:gridCol w:w="1701"/>
        <w:gridCol w:w="1842"/>
      </w:tblGrid>
      <w:tr w:rsidR="00190F54" w:rsidRPr="00890850" w14:paraId="50F03AEF" w14:textId="77777777" w:rsidTr="00390D6E">
        <w:trPr>
          <w:trHeight w:val="30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D940" w14:textId="77777777" w:rsidR="00190F54" w:rsidRPr="00890850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Data groups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6602" w14:textId="77016B49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0850">
              <w:rPr>
                <w:rFonts w:ascii="Times New Roman" w:hAnsi="Times New Roman"/>
                <w:lang w:val="en-US"/>
              </w:rPr>
              <w:t>PAEs</w:t>
            </w:r>
            <w:r w:rsidR="004277A3">
              <w:rPr>
                <w:rFonts w:ascii="Times New Roman" w:hAnsi="Times New Roman"/>
                <w:lang w:val="en-US"/>
              </w:rPr>
              <w:t xml:space="preserve">, </w:t>
            </w:r>
            <w:r w:rsidR="004277A3" w:rsidRPr="00D826F8">
              <w:rPr>
                <w:rFonts w:ascii="Times New Roman" w:hAnsi="Times New Roman"/>
                <w:sz w:val="24"/>
                <w:szCs w:val="24"/>
                <w:lang w:val="en-US"/>
              </w:rPr>
              <w:t>µ</w:t>
            </w:r>
            <w:r w:rsidR="004277A3" w:rsidRPr="00BF1C91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4277A3" w:rsidRPr="00D826F8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4277A3" w:rsidRPr="00BF1C9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</w:tr>
      <w:tr w:rsidR="00190F54" w:rsidRPr="00890850" w14:paraId="7736C79B" w14:textId="77777777" w:rsidTr="00390D6E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1C55B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D086D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DMP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2BAB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DEP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D1270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DBP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524A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DEHP</w:t>
            </w:r>
          </w:p>
        </w:tc>
      </w:tr>
      <w:tr w:rsidR="00190F54" w:rsidRPr="00890850" w14:paraId="4AF7E577" w14:textId="77777777" w:rsidTr="00390D6E">
        <w:trPr>
          <w:trHeight w:val="45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486A3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/>
                    <w:color w:val="000000"/>
                    <w:lang w:val="en-US" w:eastAsia="ru-RU"/>
                  </w:rPr>
                  <w:t>Lake</w:t>
                </w:r>
              </w:smartTag>
              <w:r>
                <w:rPr>
                  <w:rFonts w:ascii="Times New Roman" w:hAnsi="Times New Roman"/>
                  <w:color w:val="000000"/>
                  <w:lang w:val="en-US" w:eastAsia="ru-RU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Times New Roman" w:hAnsi="Times New Roman"/>
                    <w:color w:val="000000"/>
                    <w:lang w:val="en-US" w:eastAsia="ru-RU"/>
                  </w:rPr>
                  <w:t>Baikal</w:t>
                </w:r>
              </w:smartTag>
            </w:smartTag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waters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DE278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0.016</w:t>
            </w:r>
          </w:p>
          <w:p w14:paraId="35E60BD5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(0.015 0.020)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0B5FB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0.073</w:t>
            </w:r>
          </w:p>
          <w:p w14:paraId="7A324296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(0.063 0.087)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15D9D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0.548</w:t>
            </w:r>
          </w:p>
          <w:p w14:paraId="01E14A3F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(0.474 0.662)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A1041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0.296</w:t>
            </w:r>
          </w:p>
          <w:p w14:paraId="407E5E63" w14:textId="77777777" w:rsidR="00190F54" w:rsidRPr="005F3EBA" w:rsidRDefault="00190F54" w:rsidP="00507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(0.261 0.338)</w:t>
            </w:r>
          </w:p>
        </w:tc>
      </w:tr>
      <w:tr w:rsidR="00190F54" w:rsidRPr="00890850" w14:paraId="3D72F4C4" w14:textId="77777777" w:rsidTr="00390D6E">
        <w:trPr>
          <w:trHeight w:val="33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</w:tcBorders>
            <w:vAlign w:val="center"/>
          </w:tcPr>
          <w:p w14:paraId="232AD67B" w14:textId="77777777" w:rsidR="00190F54" w:rsidRPr="002476D1" w:rsidRDefault="00190F54" w:rsidP="0077515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Seasons</w:t>
            </w:r>
          </w:p>
        </w:tc>
      </w:tr>
      <w:tr w:rsidR="00190F54" w:rsidRPr="00890850" w14:paraId="4F9D1B6D" w14:textId="77777777" w:rsidTr="00D03C89">
        <w:trPr>
          <w:trHeight w:val="49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4D30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Spring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91F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0.015</w:t>
            </w:r>
          </w:p>
          <w:p w14:paraId="0150CC2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(0.012 0.020)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29A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0.075</w:t>
            </w:r>
          </w:p>
          <w:p w14:paraId="280B763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(0.061 0.094)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B23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0.712</w:t>
            </w:r>
          </w:p>
          <w:p w14:paraId="209935C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(0.597 0.893)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0AED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0.383</w:t>
            </w:r>
          </w:p>
          <w:p w14:paraId="05314E7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(0.337 0.452)</w:t>
            </w:r>
          </w:p>
        </w:tc>
      </w:tr>
      <w:tr w:rsidR="00190F54" w:rsidRPr="00890850" w14:paraId="639C85ED" w14:textId="77777777" w:rsidTr="00D03C89">
        <w:trPr>
          <w:trHeight w:val="419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3214C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Autumn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379D1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0.018</w:t>
            </w:r>
          </w:p>
          <w:p w14:paraId="2A75463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(0.015 0.0223)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4104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0.071</w:t>
            </w:r>
          </w:p>
          <w:p w14:paraId="4CC1ABF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(0.057 0.092)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0ED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0.311</w:t>
            </w:r>
          </w:p>
          <w:p w14:paraId="3A199F2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(0.251 0.410)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B92D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0.169</w:t>
            </w:r>
          </w:p>
          <w:p w14:paraId="653CABE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(0.141 0.210)</w:t>
            </w:r>
          </w:p>
        </w:tc>
      </w:tr>
      <w:tr w:rsidR="00190F54" w:rsidRPr="00890850" w14:paraId="2C017831" w14:textId="77777777" w:rsidTr="00D03C89">
        <w:trPr>
          <w:trHeight w:val="30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AC558" w14:textId="77777777" w:rsidR="00190F54" w:rsidRPr="002476D1" w:rsidRDefault="00190F54" w:rsidP="0077515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Basins</w:t>
            </w:r>
          </w:p>
        </w:tc>
      </w:tr>
      <w:tr w:rsidR="00190F54" w:rsidRPr="00890850" w14:paraId="147BA5E8" w14:textId="77777777" w:rsidTr="00D03C89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CC49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Southern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FD2E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0.02</w:t>
            </w:r>
          </w:p>
          <w:p w14:paraId="4C0B3BF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(0.0157 0.0266)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4E3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0.0726</w:t>
            </w:r>
          </w:p>
          <w:p w14:paraId="67AD8BD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(0.0603 0.088)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8F1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0.493</w:t>
            </w:r>
          </w:p>
          <w:p w14:paraId="0D0DAEE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(0.41 0.586)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C1202" w14:textId="77777777" w:rsidR="00190F54" w:rsidRPr="00640A47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0.271</w:t>
            </w:r>
          </w:p>
          <w:p w14:paraId="414BD01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(0.233 0.322)</w:t>
            </w:r>
          </w:p>
        </w:tc>
      </w:tr>
      <w:tr w:rsidR="00190F54" w:rsidRPr="00890850" w14:paraId="19217E2D" w14:textId="77777777" w:rsidTr="00D03C89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985FB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Central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BDBC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0.012</w:t>
            </w:r>
          </w:p>
          <w:p w14:paraId="3C4BFA6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(0.009 0.015)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2EED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0.062 </w:t>
            </w:r>
          </w:p>
          <w:p w14:paraId="3C22176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(0.047 0.088)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C8E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0.688</w:t>
            </w:r>
          </w:p>
          <w:p w14:paraId="5DCE108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(0.506 1.15)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BE7A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0.311</w:t>
            </w:r>
          </w:p>
          <w:p w14:paraId="71D1CFE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(0.250 0.405)</w:t>
            </w:r>
          </w:p>
        </w:tc>
      </w:tr>
      <w:tr w:rsidR="00190F54" w:rsidRPr="00890850" w14:paraId="15609BC1" w14:textId="77777777" w:rsidTr="00D03C89">
        <w:trPr>
          <w:trHeight w:val="33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F2531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Northern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BC4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0.014</w:t>
            </w:r>
          </w:p>
          <w:p w14:paraId="4CC4B8B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(0.011 0.018)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0348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0.0835</w:t>
            </w:r>
          </w:p>
          <w:p w14:paraId="671C014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(0.060 0.118)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B94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0.521</w:t>
            </w:r>
          </w:p>
          <w:p w14:paraId="4AF6241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(0.396 0.765)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2BEB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0.322</w:t>
            </w:r>
          </w:p>
          <w:p w14:paraId="32EBA68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(0.251 0.418)</w:t>
            </w:r>
          </w:p>
        </w:tc>
      </w:tr>
      <w:tr w:rsidR="00190F54" w:rsidRPr="00890850" w14:paraId="6AE4FD55" w14:textId="77777777" w:rsidTr="00D03C89">
        <w:trPr>
          <w:trHeight w:val="30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4079E" w14:textId="77777777" w:rsidR="00190F54" w:rsidRPr="002476D1" w:rsidRDefault="00190F54" w:rsidP="00433E1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Year</w:t>
            </w:r>
          </w:p>
        </w:tc>
      </w:tr>
      <w:tr w:rsidR="00190F54" w:rsidRPr="00890850" w14:paraId="6693FD7E" w14:textId="77777777" w:rsidTr="00D03C89">
        <w:trPr>
          <w:trHeight w:val="48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D783E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805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B62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4F6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0.288</w:t>
            </w:r>
          </w:p>
          <w:p w14:paraId="796B528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(0.215 – 0.429)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A869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0.809</w:t>
            </w:r>
          </w:p>
          <w:p w14:paraId="3719746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(0.577 – 1.12)</w:t>
            </w:r>
          </w:p>
        </w:tc>
      </w:tr>
      <w:tr w:rsidR="00190F54" w:rsidRPr="00890850" w14:paraId="039780FC" w14:textId="77777777" w:rsidTr="00D03C89">
        <w:trPr>
          <w:trHeight w:val="40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70B5B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74F3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043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988E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0.636</w:t>
            </w:r>
          </w:p>
          <w:p w14:paraId="05E5AE0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(0.511 – 0.792)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13D0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0.231</w:t>
            </w:r>
          </w:p>
          <w:p w14:paraId="629EDD2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(0.165 – 0.35)</w:t>
            </w:r>
          </w:p>
        </w:tc>
      </w:tr>
      <w:tr w:rsidR="00190F54" w:rsidRPr="00890850" w14:paraId="67A4CBA3" w14:textId="77777777" w:rsidTr="00D03C89">
        <w:trPr>
          <w:trHeight w:val="45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3BE62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9AFF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0.013</w:t>
            </w:r>
          </w:p>
          <w:p w14:paraId="5FDFDD2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(0.009 – 0.016)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411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0.145</w:t>
            </w:r>
          </w:p>
          <w:p w14:paraId="580F1A9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(0.116 – 0.185)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B3F9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1.24</w:t>
            </w:r>
          </w:p>
          <w:p w14:paraId="5144251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(0.944 – 1.86)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4F3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0.377</w:t>
            </w:r>
          </w:p>
          <w:p w14:paraId="039E36B1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(0.302 – 0.474)</w:t>
            </w:r>
          </w:p>
        </w:tc>
      </w:tr>
      <w:tr w:rsidR="00190F54" w:rsidRPr="00890850" w14:paraId="2DD95A26" w14:textId="77777777" w:rsidTr="00D03C89">
        <w:trPr>
          <w:trHeight w:val="352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2513E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E0D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0.001</w:t>
            </w:r>
          </w:p>
          <w:p w14:paraId="3BB329A4" w14:textId="77777777" w:rsidR="00190F54" w:rsidRPr="005F3EBA" w:rsidRDefault="00190F54" w:rsidP="00775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(0.001 – 0.003)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3F6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0.056</w:t>
            </w:r>
          </w:p>
          <w:p w14:paraId="3EF990D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(0.048 – 0.068)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6FDE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0.719</w:t>
            </w:r>
          </w:p>
          <w:p w14:paraId="63B6257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(0.563 – 0.889)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E45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0.529</w:t>
            </w:r>
          </w:p>
          <w:p w14:paraId="58902B4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(0.376 – 0.842)</w:t>
            </w:r>
          </w:p>
        </w:tc>
      </w:tr>
      <w:tr w:rsidR="00190F54" w:rsidRPr="00890850" w14:paraId="46BA4153" w14:textId="77777777" w:rsidTr="00D03C89">
        <w:trPr>
          <w:trHeight w:val="416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643A5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F3A4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0.006</w:t>
            </w:r>
          </w:p>
          <w:p w14:paraId="1F0C913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(0.004 – 0.009)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8EE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0.067</w:t>
            </w:r>
          </w:p>
          <w:p w14:paraId="0873012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(0.044 – 0.113)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0B2E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0.181</w:t>
            </w:r>
          </w:p>
          <w:p w14:paraId="18DB1691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(0.129 – 0.298)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6E5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0.240</w:t>
            </w:r>
          </w:p>
          <w:p w14:paraId="407E421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(0.179 </w:t>
            </w:r>
            <w:r w:rsidRPr="005F3EBA">
              <w:rPr>
                <w:rFonts w:ascii="Times New Roman" w:hAnsi="Times New Roman"/>
                <w:color w:val="000000"/>
                <w:lang w:eastAsia="ru-RU"/>
              </w:rPr>
              <w:softHyphen/>
              <w:t xml:space="preserve"> 0.36)</w:t>
            </w:r>
          </w:p>
        </w:tc>
      </w:tr>
      <w:tr w:rsidR="00190F54" w:rsidRPr="00890850" w14:paraId="15985BD7" w14:textId="77777777" w:rsidTr="00D03C89">
        <w:trPr>
          <w:trHeight w:val="465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68E63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5B13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0.003</w:t>
            </w:r>
          </w:p>
          <w:p w14:paraId="1B7D4D6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(0.002 – 0.005)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F0C8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0.038</w:t>
            </w:r>
          </w:p>
          <w:p w14:paraId="2960AC6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(0.030 – 0.046)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B91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0.787</w:t>
            </w:r>
          </w:p>
          <w:p w14:paraId="2EE6758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(0.542 – 1.17)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6C11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0.238</w:t>
            </w:r>
          </w:p>
          <w:p w14:paraId="019A401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(0.166 – 0.356)</w:t>
            </w:r>
          </w:p>
        </w:tc>
      </w:tr>
      <w:tr w:rsidR="00190F54" w:rsidRPr="00890850" w14:paraId="4CE12471" w14:textId="77777777" w:rsidTr="00D03C89">
        <w:trPr>
          <w:trHeight w:val="37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7F92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65C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0.025</w:t>
            </w:r>
          </w:p>
          <w:p w14:paraId="49C2AD1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(0.019 – 0.031)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712E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0.093</w:t>
            </w:r>
          </w:p>
          <w:p w14:paraId="0F1D606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(0.071 – 0.124)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7BDC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0.195</w:t>
            </w:r>
          </w:p>
          <w:p w14:paraId="4509941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(0.139 – 0.262)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3847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0.239</w:t>
            </w:r>
          </w:p>
          <w:p w14:paraId="1F7E572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(0.182 – 0.341)</w:t>
            </w:r>
          </w:p>
        </w:tc>
      </w:tr>
      <w:tr w:rsidR="00190F54" w:rsidRPr="00890850" w14:paraId="12EB5546" w14:textId="77777777" w:rsidTr="00D03C89">
        <w:trPr>
          <w:trHeight w:val="423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3FD74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523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0.031</w:t>
            </w:r>
          </w:p>
          <w:p w14:paraId="35884A2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(0.025 – 0.046)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20CB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0.018</w:t>
            </w:r>
          </w:p>
          <w:p w14:paraId="25FEB20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(0.013 – 0.024)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9A4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0.284</w:t>
            </w:r>
          </w:p>
          <w:p w14:paraId="5389664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(0.162 – 0.518)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41C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0.187</w:t>
            </w:r>
          </w:p>
          <w:p w14:paraId="2BB67D2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(0.151 – 0.243)</w:t>
            </w:r>
          </w:p>
        </w:tc>
      </w:tr>
      <w:tr w:rsidR="00190F54" w:rsidRPr="00890850" w14:paraId="69C6A5FB" w14:textId="77777777" w:rsidTr="00D03C89">
        <w:trPr>
          <w:trHeight w:val="30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3322B0" w14:textId="77777777" w:rsidR="00190F54" w:rsidRPr="002476D1" w:rsidRDefault="00190F54" w:rsidP="00433E1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val="en-US" w:eastAsia="ru-RU"/>
              </w:rPr>
              <w:t>Ecotope</w:t>
            </w:r>
            <w:proofErr w:type="spellEnd"/>
          </w:p>
        </w:tc>
      </w:tr>
      <w:tr w:rsidR="00190F54" w:rsidRPr="00890850" w14:paraId="724148F3" w14:textId="77777777" w:rsidTr="00D03C89">
        <w:trPr>
          <w:trHeight w:val="449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A8B8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Bays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8028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0.014 </w:t>
            </w:r>
          </w:p>
          <w:p w14:paraId="4CF6B7C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(0.001 – 0.022)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473D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0.054</w:t>
            </w:r>
          </w:p>
          <w:p w14:paraId="500C6A8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(0.030 – 0.123)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8C3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0.591</w:t>
            </w:r>
          </w:p>
          <w:p w14:paraId="5135DA0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(0.350 – 1.14)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BD7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0.311</w:t>
            </w:r>
          </w:p>
          <w:p w14:paraId="4342BC5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(0.195 – 0.498)</w:t>
            </w:r>
          </w:p>
        </w:tc>
      </w:tr>
      <w:tr w:rsidR="00190F54" w:rsidRPr="00890850" w14:paraId="2E13E8FB" w14:textId="77777777" w:rsidTr="00D03C89">
        <w:trPr>
          <w:trHeight w:val="5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8743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Central zone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EFEA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0.013</w:t>
            </w:r>
          </w:p>
          <w:p w14:paraId="106D227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(0.010 – 0.018)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1082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0.086</w:t>
            </w:r>
          </w:p>
          <w:p w14:paraId="7F3190F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(0.068 – 0.110)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F9D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0.776</w:t>
            </w:r>
          </w:p>
          <w:p w14:paraId="66E3EB3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(0.628 – 1.07)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49053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0.355</w:t>
            </w:r>
          </w:p>
          <w:p w14:paraId="1FE1A21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(0.303 – 0.421)</w:t>
            </w:r>
          </w:p>
        </w:tc>
      </w:tr>
      <w:tr w:rsidR="00190F54" w:rsidRPr="00890850" w14:paraId="325A6DAF" w14:textId="77777777" w:rsidTr="00D03C89">
        <w:trPr>
          <w:trHeight w:val="55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DDA77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Near-shore zone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837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0.019</w:t>
            </w:r>
          </w:p>
          <w:p w14:paraId="471314E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(0.015 – 0.026)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6472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0.064</w:t>
            </w:r>
          </w:p>
          <w:p w14:paraId="6BB3629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(0.051 – 0.083)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A8ED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0.406</w:t>
            </w:r>
          </w:p>
          <w:p w14:paraId="6AA62F9B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(0.333 – 0.512)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D504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0.240</w:t>
            </w:r>
          </w:p>
          <w:p w14:paraId="567DC77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(0.196 – 0.304)</w:t>
            </w:r>
          </w:p>
        </w:tc>
      </w:tr>
      <w:tr w:rsidR="00190F54" w:rsidRPr="00890850" w14:paraId="228250A9" w14:textId="77777777" w:rsidTr="00D03C89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2EAEA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Rivers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F6C4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0.017</w:t>
            </w:r>
          </w:p>
          <w:p w14:paraId="731A96D1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(0.011 – 0.024)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8CFC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0.079 </w:t>
            </w:r>
          </w:p>
          <w:p w14:paraId="78E6F47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(0.055 – 0.111)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D021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0.367 </w:t>
            </w:r>
          </w:p>
          <w:p w14:paraId="7285572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(0.250 – 0.518)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ABF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0.326</w:t>
            </w:r>
          </w:p>
          <w:p w14:paraId="0A6A13B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(0.245 – 0.476)</w:t>
            </w:r>
          </w:p>
        </w:tc>
      </w:tr>
      <w:tr w:rsidR="00190F54" w:rsidRPr="00890850" w14:paraId="1B27C068" w14:textId="77777777" w:rsidTr="00D03C89">
        <w:trPr>
          <w:trHeight w:val="300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D1CD3" w14:textId="77777777" w:rsidR="00190F54" w:rsidRPr="002476D1" w:rsidRDefault="00190F54" w:rsidP="00433E13">
            <w:pPr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5F3EBA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lang w:val="en-US" w:eastAsia="ru-RU"/>
              </w:rPr>
              <w:t>Central zone</w:t>
            </w:r>
            <w:r w:rsidRPr="002476D1">
              <w:rPr>
                <w:rFonts w:ascii="Times New Roman" w:hAnsi="Times New Roman"/>
                <w:i/>
                <w:iCs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lang w:val="en-US" w:eastAsia="ru-RU"/>
              </w:rPr>
              <w:t>miscellaneous</w:t>
            </w:r>
          </w:p>
        </w:tc>
      </w:tr>
      <w:tr w:rsidR="00190F54" w:rsidRPr="00890850" w14:paraId="3A040549" w14:textId="77777777" w:rsidTr="00D03C89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0D074F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Central zone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E3E04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0.013</w:t>
            </w:r>
          </w:p>
          <w:p w14:paraId="15FDCA8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(0.009 – 0.019)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FD49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0.086</w:t>
            </w:r>
          </w:p>
          <w:p w14:paraId="459C8BFD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(0.070 – 0.110)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338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0.776</w:t>
            </w:r>
          </w:p>
          <w:p w14:paraId="72CD0BAC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(0.627 – 1.09)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5BDD2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0.355</w:t>
            </w:r>
          </w:p>
          <w:p w14:paraId="718FF056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 xml:space="preserve">(0.299 </w:t>
            </w:r>
            <w:r w:rsidRPr="005F3EBA">
              <w:rPr>
                <w:rFonts w:ascii="Times New Roman" w:hAnsi="Times New Roman"/>
                <w:color w:val="000000"/>
                <w:lang w:eastAsia="ru-RU"/>
              </w:rPr>
              <w:softHyphen/>
              <w:t xml:space="preserve"> 0.421)</w:t>
            </w:r>
          </w:p>
        </w:tc>
      </w:tr>
      <w:tr w:rsidR="00190F54" w:rsidRPr="00890850" w14:paraId="67435D62" w14:textId="77777777" w:rsidTr="00D03C89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4B86AE" w14:textId="77777777" w:rsidR="00190F54" w:rsidRPr="00640A47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Bays</w:t>
            </w:r>
            <w:r w:rsidRPr="00640A47">
              <w:rPr>
                <w:rFonts w:ascii="Times New Roman" w:hAnsi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near-shore zone</w:t>
            </w:r>
            <w:r w:rsidRPr="00640A47">
              <w:rPr>
                <w:rFonts w:ascii="Times New Roman" w:hAnsi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rivers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ru-RU"/>
              </w:rPr>
              <w:t>mouthes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8DCA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0.018</w:t>
            </w:r>
          </w:p>
          <w:p w14:paraId="739E4A48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(0.015 – 0.023)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AC7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0.066</w:t>
            </w:r>
          </w:p>
          <w:p w14:paraId="54A7F6F7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(0.054 – 0.083)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3700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0.422</w:t>
            </w:r>
          </w:p>
          <w:p w14:paraId="64DCC999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(0.355 – 0.524)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EE12E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0.263</w:t>
            </w:r>
          </w:p>
          <w:p w14:paraId="72815915" w14:textId="77777777" w:rsidR="00190F54" w:rsidRPr="005F3EBA" w:rsidRDefault="00190F54" w:rsidP="00FC12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F3EBA">
              <w:rPr>
                <w:rFonts w:ascii="Times New Roman" w:hAnsi="Times New Roman"/>
                <w:color w:val="000000"/>
                <w:lang w:eastAsia="ru-RU"/>
              </w:rPr>
              <w:t>(0.223 – 0.309)</w:t>
            </w:r>
          </w:p>
        </w:tc>
      </w:tr>
    </w:tbl>
    <w:p w14:paraId="1E626207" w14:textId="77777777" w:rsidR="00190F54" w:rsidRDefault="00190F54">
      <w:pPr>
        <w:rPr>
          <w:rFonts w:ascii="Times New Roman" w:hAnsi="Times New Roman"/>
          <w:sz w:val="20"/>
          <w:szCs w:val="20"/>
        </w:rPr>
      </w:pPr>
    </w:p>
    <w:p w14:paraId="6DA1E63F" w14:textId="77777777" w:rsidR="00F654F5" w:rsidRPr="004C73A1" w:rsidRDefault="00F654F5" w:rsidP="00F654F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207D7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Table</w:t>
      </w:r>
      <w:r w:rsidRPr="004C73A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207D7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4C73A1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Assessment of the environmental risk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C73A1">
        <w:rPr>
          <w:rFonts w:ascii="Times New Roman" w:hAnsi="Times New Roman"/>
          <w:color w:val="000000"/>
          <w:lang w:val="en-US" w:eastAsia="ru-RU"/>
        </w:rPr>
        <w:t>RQ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 xml:space="preserve">for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hydrobionts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by average concentrations of priority congeners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>PAEs</w:t>
      </w:r>
      <w:r w:rsidRPr="004C73A1">
        <w:rPr>
          <w:rFonts w:ascii="Times New Roman" w:hAnsi="Times New Roman"/>
          <w:color w:val="000000"/>
          <w:sz w:val="24"/>
          <w:szCs w:val="24"/>
          <w:vertAlign w:val="superscript"/>
          <w:lang w:val="en-US" w:eastAsia="ru-RU"/>
        </w:rPr>
        <w:t>1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</w:p>
    <w:tbl>
      <w:tblPr>
        <w:tblW w:w="9072" w:type="dxa"/>
        <w:tblLook w:val="00A0" w:firstRow="1" w:lastRow="0" w:firstColumn="1" w:lastColumn="0" w:noHBand="0" w:noVBand="0"/>
      </w:tblPr>
      <w:tblGrid>
        <w:gridCol w:w="960"/>
        <w:gridCol w:w="1323"/>
        <w:gridCol w:w="2600"/>
        <w:gridCol w:w="1354"/>
        <w:gridCol w:w="1418"/>
        <w:gridCol w:w="1417"/>
      </w:tblGrid>
      <w:tr w:rsidR="00F654F5" w:rsidRPr="000B6D5F" w14:paraId="45D74E2E" w14:textId="77777777" w:rsidTr="00C72FC5">
        <w:trPr>
          <w:trHeight w:val="2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0AF3C6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PAEs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36DA8D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Hydrobiont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6B5B85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Species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A2C061" w14:textId="77777777" w:rsidR="00F654F5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PNEC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,</w:t>
            </w:r>
            <w:r w:rsidRPr="00F76CFC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</w:p>
          <w:p w14:paraId="58BB1284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µg/L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C24485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C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average</w:t>
            </w:r>
            <w:proofErr w:type="spellEnd"/>
            <w:r w:rsidRPr="00F76CFC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r w:rsidRPr="00F76CFC">
              <w:rPr>
                <w:rFonts w:ascii="Times New Roman" w:hAnsi="Times New Roman"/>
                <w:color w:val="000000"/>
                <w:vertAlign w:val="superscript"/>
                <w:lang w:val="en-US" w:eastAsia="ru-RU"/>
              </w:rPr>
              <w:t>2</w:t>
            </w:r>
            <w:r w:rsidRPr="00F76CFC">
              <w:rPr>
                <w:rFonts w:ascii="Times New Roman" w:hAnsi="Times New Roman"/>
                <w:color w:val="000000"/>
                <w:lang w:eastAsia="ru-RU"/>
              </w:rPr>
              <w:t>, µg/L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CB71B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RQ</w:t>
            </w:r>
          </w:p>
        </w:tc>
      </w:tr>
      <w:tr w:rsidR="00F654F5" w:rsidRPr="000B6D5F" w14:paraId="32DDAB0D" w14:textId="77777777" w:rsidTr="00C72FC5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FDF117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DMP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vAlign w:val="center"/>
          </w:tcPr>
          <w:p w14:paraId="5BAE5C32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Algae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</w:tcBorders>
            <w:noWrap/>
            <w:vAlign w:val="bottom"/>
          </w:tcPr>
          <w:p w14:paraId="4B13D323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Pseudokirchneriella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subcapitata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vAlign w:val="center"/>
          </w:tcPr>
          <w:p w14:paraId="5297D1E9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55CBC9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71BB209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0.0001</w:t>
            </w:r>
          </w:p>
        </w:tc>
      </w:tr>
      <w:tr w:rsidR="00F654F5" w:rsidRPr="000B6D5F" w14:paraId="61CA6884" w14:textId="77777777" w:rsidTr="00C72FC5">
        <w:trPr>
          <w:trHeight w:val="288"/>
        </w:trPr>
        <w:tc>
          <w:tcPr>
            <w:tcW w:w="960" w:type="dxa"/>
            <w:vMerge/>
            <w:noWrap/>
            <w:vAlign w:val="center"/>
          </w:tcPr>
          <w:p w14:paraId="7CF7F11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14:paraId="4EE97B6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Cladoceran</w:t>
            </w:r>
            <w:proofErr w:type="spellEnd"/>
          </w:p>
        </w:tc>
        <w:tc>
          <w:tcPr>
            <w:tcW w:w="2600" w:type="dxa"/>
            <w:noWrap/>
            <w:vAlign w:val="bottom"/>
          </w:tcPr>
          <w:p w14:paraId="6E306CD8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Daphnia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magna</w:t>
            </w:r>
            <w:proofErr w:type="spellEnd"/>
          </w:p>
        </w:tc>
        <w:tc>
          <w:tcPr>
            <w:tcW w:w="1354" w:type="dxa"/>
            <w:noWrap/>
            <w:vAlign w:val="center"/>
          </w:tcPr>
          <w:p w14:paraId="52CC846B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vMerge/>
            <w:noWrap/>
            <w:vAlign w:val="center"/>
          </w:tcPr>
          <w:p w14:paraId="0B00D0B8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14:paraId="3953E02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0.0005</w:t>
            </w:r>
          </w:p>
        </w:tc>
      </w:tr>
      <w:tr w:rsidR="00F654F5" w:rsidRPr="000B6D5F" w14:paraId="20A55583" w14:textId="77777777" w:rsidTr="00C72FC5">
        <w:trPr>
          <w:trHeight w:val="288"/>
        </w:trPr>
        <w:tc>
          <w:tcPr>
            <w:tcW w:w="9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D188CE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noWrap/>
            <w:vAlign w:val="center"/>
          </w:tcPr>
          <w:p w14:paraId="21E385C4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Fish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noWrap/>
            <w:vAlign w:val="bottom"/>
          </w:tcPr>
          <w:p w14:paraId="308F7AFC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Lepomis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macrochirus</w:t>
            </w:r>
            <w:proofErr w:type="spellEnd"/>
          </w:p>
        </w:tc>
        <w:tc>
          <w:tcPr>
            <w:tcW w:w="1354" w:type="dxa"/>
            <w:tcBorders>
              <w:bottom w:val="single" w:sz="4" w:space="0" w:color="auto"/>
            </w:tcBorders>
            <w:noWrap/>
            <w:vAlign w:val="center"/>
          </w:tcPr>
          <w:p w14:paraId="0B6DD3A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F5DEA7E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20F98D1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0.0003</w:t>
            </w:r>
          </w:p>
        </w:tc>
      </w:tr>
      <w:tr w:rsidR="00F654F5" w:rsidRPr="000B6D5F" w14:paraId="09516750" w14:textId="77777777" w:rsidTr="00C72FC5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CE4CF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DEP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vAlign w:val="center"/>
          </w:tcPr>
          <w:p w14:paraId="626C9446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Algae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</w:tcBorders>
            <w:noWrap/>
            <w:vAlign w:val="bottom"/>
          </w:tcPr>
          <w:p w14:paraId="7A811FC3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Pseudokirchneriella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subcapitata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vAlign w:val="center"/>
          </w:tcPr>
          <w:p w14:paraId="46AC86FB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3C330DC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5236546B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0.0046</w:t>
            </w:r>
          </w:p>
        </w:tc>
      </w:tr>
      <w:tr w:rsidR="00F654F5" w:rsidRPr="000B6D5F" w14:paraId="15D2EB77" w14:textId="77777777" w:rsidTr="00C72FC5">
        <w:trPr>
          <w:trHeight w:val="288"/>
        </w:trPr>
        <w:tc>
          <w:tcPr>
            <w:tcW w:w="9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2F524C2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14:paraId="618FDEE5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Cladoceran</w:t>
            </w:r>
            <w:proofErr w:type="spellEnd"/>
          </w:p>
        </w:tc>
        <w:tc>
          <w:tcPr>
            <w:tcW w:w="2600" w:type="dxa"/>
            <w:noWrap/>
            <w:vAlign w:val="bottom"/>
          </w:tcPr>
          <w:p w14:paraId="6766EEC6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Daphnia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magna</w:t>
            </w:r>
            <w:proofErr w:type="spellEnd"/>
          </w:p>
        </w:tc>
        <w:tc>
          <w:tcPr>
            <w:tcW w:w="1354" w:type="dxa"/>
            <w:noWrap/>
            <w:vAlign w:val="center"/>
          </w:tcPr>
          <w:p w14:paraId="72E31E3C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1418" w:type="dxa"/>
            <w:vMerge/>
            <w:noWrap/>
            <w:vAlign w:val="center"/>
          </w:tcPr>
          <w:p w14:paraId="0E0BCAC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14:paraId="756DF167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0.0008</w:t>
            </w:r>
          </w:p>
        </w:tc>
      </w:tr>
      <w:tr w:rsidR="00F654F5" w:rsidRPr="000B6D5F" w14:paraId="57D7C85E" w14:textId="77777777" w:rsidTr="00C72FC5">
        <w:trPr>
          <w:trHeight w:val="288"/>
        </w:trPr>
        <w:tc>
          <w:tcPr>
            <w:tcW w:w="9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79FEF3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noWrap/>
            <w:vAlign w:val="center"/>
          </w:tcPr>
          <w:p w14:paraId="2DA84F7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Fish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noWrap/>
            <w:vAlign w:val="bottom"/>
          </w:tcPr>
          <w:p w14:paraId="2CFE780E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Lepomis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macrochirus</w:t>
            </w:r>
            <w:proofErr w:type="spellEnd"/>
          </w:p>
        </w:tc>
        <w:tc>
          <w:tcPr>
            <w:tcW w:w="1354" w:type="dxa"/>
            <w:tcBorders>
              <w:bottom w:val="single" w:sz="4" w:space="0" w:color="auto"/>
            </w:tcBorders>
            <w:noWrap/>
            <w:vAlign w:val="center"/>
          </w:tcPr>
          <w:p w14:paraId="39507E6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16.5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00E6D5E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14:paraId="24868638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0.0044</w:t>
            </w:r>
          </w:p>
        </w:tc>
      </w:tr>
      <w:tr w:rsidR="00F654F5" w:rsidRPr="000B6D5F" w14:paraId="1CA33751" w14:textId="77777777" w:rsidTr="00C72FC5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C2E9691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</w:t>
            </w:r>
            <w:r w:rsidRPr="00F76CFC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n</w:t>
            </w:r>
            <w:r w:rsidRPr="00F76CFC">
              <w:rPr>
                <w:rFonts w:ascii="Times New Roman" w:hAnsi="Times New Roman"/>
                <w:color w:val="000000"/>
                <w:lang w:eastAsia="ru-RU"/>
              </w:rPr>
              <w:t>BP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vAlign w:val="center"/>
          </w:tcPr>
          <w:p w14:paraId="7252F909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Algae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</w:tcBorders>
            <w:noWrap/>
            <w:vAlign w:val="bottom"/>
          </w:tcPr>
          <w:p w14:paraId="7428CF98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Pseudokirchneriella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subcapitata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vAlign w:val="center"/>
          </w:tcPr>
          <w:p w14:paraId="5CB0E7D6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142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9BAF30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0.5</w:t>
            </w: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14:paraId="640B32A8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0.0039</w:t>
            </w:r>
          </w:p>
        </w:tc>
      </w:tr>
      <w:tr w:rsidR="00F654F5" w:rsidRPr="000B6D5F" w14:paraId="6D2C1815" w14:textId="77777777" w:rsidTr="00C72FC5">
        <w:trPr>
          <w:trHeight w:val="288"/>
        </w:trPr>
        <w:tc>
          <w:tcPr>
            <w:tcW w:w="960" w:type="dxa"/>
            <w:vMerge/>
            <w:noWrap/>
            <w:vAlign w:val="center"/>
          </w:tcPr>
          <w:p w14:paraId="3C8DE19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14:paraId="2A13219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Cladoceran</w:t>
            </w:r>
            <w:proofErr w:type="spellEnd"/>
          </w:p>
        </w:tc>
        <w:tc>
          <w:tcPr>
            <w:tcW w:w="2600" w:type="dxa"/>
            <w:noWrap/>
            <w:vAlign w:val="bottom"/>
          </w:tcPr>
          <w:p w14:paraId="3AFB5965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Daphnia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magna</w:t>
            </w:r>
            <w:proofErr w:type="spellEnd"/>
          </w:p>
        </w:tc>
        <w:tc>
          <w:tcPr>
            <w:tcW w:w="1354" w:type="dxa"/>
            <w:noWrap/>
            <w:vAlign w:val="center"/>
          </w:tcPr>
          <w:p w14:paraId="57A1477D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vMerge/>
            <w:noWrap/>
            <w:vAlign w:val="center"/>
          </w:tcPr>
          <w:p w14:paraId="61407168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14:paraId="004B8B4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0.017</w:t>
            </w:r>
          </w:p>
        </w:tc>
      </w:tr>
      <w:tr w:rsidR="00F654F5" w:rsidRPr="000B6D5F" w14:paraId="5D9AAA2C" w14:textId="77777777" w:rsidTr="00C72FC5">
        <w:trPr>
          <w:trHeight w:val="288"/>
        </w:trPr>
        <w:tc>
          <w:tcPr>
            <w:tcW w:w="9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FA4DB49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noWrap/>
            <w:vAlign w:val="center"/>
          </w:tcPr>
          <w:p w14:paraId="027D58E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Fish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noWrap/>
            <w:vAlign w:val="bottom"/>
          </w:tcPr>
          <w:p w14:paraId="1DC8B0DF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Danio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rerio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Zebra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danio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noWrap/>
            <w:vAlign w:val="center"/>
          </w:tcPr>
          <w:p w14:paraId="373626C4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37A102F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/>
            <w:noWrap/>
            <w:vAlign w:val="center"/>
          </w:tcPr>
          <w:p w14:paraId="6CCBB2E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0.055</w:t>
            </w:r>
          </w:p>
        </w:tc>
      </w:tr>
      <w:tr w:rsidR="00F654F5" w:rsidRPr="000B6D5F" w14:paraId="5F725F12" w14:textId="77777777" w:rsidTr="00C72FC5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17F2FA1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DEHP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noWrap/>
            <w:vAlign w:val="center"/>
          </w:tcPr>
          <w:p w14:paraId="5752FE91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Algae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</w:tcBorders>
            <w:noWrap/>
            <w:vAlign w:val="bottom"/>
          </w:tcPr>
          <w:p w14:paraId="25FCDAAB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Pseudokirchneriella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subcapitata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</w:tcBorders>
            <w:noWrap/>
            <w:vAlign w:val="center"/>
          </w:tcPr>
          <w:p w14:paraId="705D8B5D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FB8664C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7CAAC"/>
            <w:noWrap/>
            <w:vAlign w:val="center"/>
          </w:tcPr>
          <w:p w14:paraId="703940A8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2.96</w:t>
            </w:r>
          </w:p>
        </w:tc>
      </w:tr>
      <w:tr w:rsidR="00F654F5" w:rsidRPr="000B6D5F" w14:paraId="0210799C" w14:textId="77777777" w:rsidTr="00C72FC5">
        <w:trPr>
          <w:trHeight w:val="288"/>
        </w:trPr>
        <w:tc>
          <w:tcPr>
            <w:tcW w:w="960" w:type="dxa"/>
            <w:vMerge/>
            <w:noWrap/>
            <w:vAlign w:val="center"/>
          </w:tcPr>
          <w:p w14:paraId="41B6211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noWrap/>
            <w:vAlign w:val="center"/>
          </w:tcPr>
          <w:p w14:paraId="031F2F65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Cladoceran</w:t>
            </w:r>
            <w:proofErr w:type="spellEnd"/>
          </w:p>
        </w:tc>
        <w:tc>
          <w:tcPr>
            <w:tcW w:w="2600" w:type="dxa"/>
            <w:noWrap/>
            <w:vAlign w:val="bottom"/>
          </w:tcPr>
          <w:p w14:paraId="5E69DB3B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Daphnia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magna</w:t>
            </w:r>
            <w:proofErr w:type="spellEnd"/>
          </w:p>
        </w:tc>
        <w:tc>
          <w:tcPr>
            <w:tcW w:w="1354" w:type="dxa"/>
            <w:noWrap/>
            <w:vAlign w:val="center"/>
          </w:tcPr>
          <w:p w14:paraId="1E0C405A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0.77</w:t>
            </w:r>
          </w:p>
        </w:tc>
        <w:tc>
          <w:tcPr>
            <w:tcW w:w="1418" w:type="dxa"/>
            <w:vMerge/>
            <w:noWrap/>
            <w:vAlign w:val="center"/>
          </w:tcPr>
          <w:p w14:paraId="570D85F9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14:paraId="3CD99406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0.384</w:t>
            </w:r>
          </w:p>
        </w:tc>
      </w:tr>
      <w:tr w:rsidR="00F654F5" w:rsidRPr="000B6D5F" w14:paraId="1EE7EECA" w14:textId="77777777" w:rsidTr="00C72FC5">
        <w:trPr>
          <w:trHeight w:val="288"/>
        </w:trPr>
        <w:tc>
          <w:tcPr>
            <w:tcW w:w="96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D15F777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noWrap/>
            <w:vAlign w:val="center"/>
          </w:tcPr>
          <w:p w14:paraId="5EC36700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Fish</w:t>
            </w:r>
            <w:proofErr w:type="spellEnd"/>
          </w:p>
        </w:tc>
        <w:tc>
          <w:tcPr>
            <w:tcW w:w="2600" w:type="dxa"/>
            <w:tcBorders>
              <w:bottom w:val="single" w:sz="4" w:space="0" w:color="auto"/>
            </w:tcBorders>
            <w:noWrap/>
            <w:vAlign w:val="bottom"/>
          </w:tcPr>
          <w:p w14:paraId="09534285" w14:textId="77777777" w:rsidR="00F654F5" w:rsidRPr="00F76CFC" w:rsidRDefault="00F654F5" w:rsidP="00C72FC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Lepomis</w:t>
            </w:r>
            <w:proofErr w:type="spellEnd"/>
            <w:r w:rsidRPr="00F76CF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76CFC">
              <w:rPr>
                <w:rFonts w:ascii="Times New Roman" w:hAnsi="Times New Roman"/>
                <w:color w:val="000000"/>
                <w:lang w:eastAsia="ru-RU"/>
              </w:rPr>
              <w:t>macrochirus</w:t>
            </w:r>
            <w:proofErr w:type="spellEnd"/>
          </w:p>
        </w:tc>
        <w:tc>
          <w:tcPr>
            <w:tcW w:w="1354" w:type="dxa"/>
            <w:tcBorders>
              <w:bottom w:val="single" w:sz="4" w:space="0" w:color="auto"/>
            </w:tcBorders>
            <w:noWrap/>
            <w:vAlign w:val="center"/>
          </w:tcPr>
          <w:p w14:paraId="5A2BA1C9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6.0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6EA8212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/>
            <w:noWrap/>
            <w:vAlign w:val="center"/>
          </w:tcPr>
          <w:p w14:paraId="7D8CD583" w14:textId="77777777" w:rsidR="00F654F5" w:rsidRPr="00F76CFC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76CFC">
              <w:rPr>
                <w:rFonts w:ascii="Times New Roman" w:hAnsi="Times New Roman"/>
                <w:color w:val="000000"/>
                <w:lang w:eastAsia="ru-RU"/>
              </w:rPr>
              <w:t>0.049</w:t>
            </w:r>
          </w:p>
        </w:tc>
      </w:tr>
    </w:tbl>
    <w:p w14:paraId="42C079F3" w14:textId="77777777" w:rsidR="00F654F5" w:rsidRPr="00D926F4" w:rsidRDefault="00F654F5" w:rsidP="00F654F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17EA">
        <w:rPr>
          <w:rFonts w:ascii="Times New Roman" w:hAnsi="Times New Roman"/>
          <w:sz w:val="24"/>
          <w:szCs w:val="24"/>
          <w:u w:val="single"/>
          <w:lang w:val="en-US"/>
        </w:rPr>
        <w:t>Note</w:t>
      </w:r>
      <w:r w:rsidRPr="004C73A1">
        <w:rPr>
          <w:rFonts w:ascii="Times New Roman" w:hAnsi="Times New Roman"/>
          <w:sz w:val="24"/>
          <w:szCs w:val="24"/>
          <w:u w:val="single"/>
          <w:lang w:val="en-US"/>
        </w:rPr>
        <w:t xml:space="preserve">: </w:t>
      </w:r>
      <w:r w:rsidRPr="004C73A1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average concentrations of priority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207D7">
        <w:rPr>
          <w:rFonts w:ascii="Times New Roman" w:hAnsi="Times New Roman"/>
          <w:color w:val="000000"/>
          <w:sz w:val="24"/>
          <w:szCs w:val="24"/>
          <w:lang w:val="en-US" w:eastAsia="ru-RU"/>
        </w:rPr>
        <w:t>PAEs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in Lake Baikal waters for monitoring period of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2015-2022; </w:t>
      </w:r>
      <w:r w:rsidRPr="004C73A1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F817EA">
        <w:rPr>
          <w:rFonts w:ascii="Times New Roman" w:hAnsi="Times New Roman"/>
          <w:sz w:val="24"/>
          <w:szCs w:val="24"/>
          <w:lang w:val="en-US"/>
        </w:rPr>
        <w:t>PNEC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concentration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not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expected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affect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aquatic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organisms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data from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26F4">
        <w:rPr>
          <w:rFonts w:ascii="Times New Roman" w:hAnsi="Times New Roman"/>
          <w:sz w:val="24"/>
          <w:szCs w:val="24"/>
          <w:lang w:val="en-US"/>
        </w:rPr>
        <w:t>[</w:t>
      </w:r>
      <w:r w:rsidRPr="00D926F4">
        <w:rPr>
          <w:rFonts w:ascii="Times New Roman" w:hAnsi="Times New Roman"/>
          <w:b/>
          <w:bCs/>
          <w:sz w:val="24"/>
          <w:szCs w:val="24"/>
          <w:lang w:val="en-US"/>
        </w:rPr>
        <w:t>25</w:t>
      </w:r>
      <w:r w:rsidRPr="00D926F4">
        <w:rPr>
          <w:rFonts w:ascii="Times New Roman" w:hAnsi="Times New Roman"/>
          <w:sz w:val="24"/>
          <w:szCs w:val="24"/>
          <w:lang w:val="en-US"/>
        </w:rPr>
        <w:t>,</w:t>
      </w:r>
      <w:r w:rsidRPr="00D926F4">
        <w:rPr>
          <w:rFonts w:ascii="Times New Roman" w:hAnsi="Times New Roman"/>
          <w:b/>
          <w:bCs/>
          <w:sz w:val="24"/>
          <w:szCs w:val="24"/>
          <w:lang w:val="en-US"/>
        </w:rPr>
        <w:t>26</w:t>
      </w:r>
      <w:r w:rsidRPr="00D926F4">
        <w:rPr>
          <w:rFonts w:ascii="Times New Roman" w:hAnsi="Times New Roman"/>
          <w:sz w:val="24"/>
          <w:szCs w:val="24"/>
          <w:lang w:val="en-US"/>
        </w:rPr>
        <w:t>]</w:t>
      </w:r>
      <w:r w:rsidRPr="00D926F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D132C73" w14:textId="77777777" w:rsidR="00F654F5" w:rsidRPr="004C73A1" w:rsidRDefault="00F654F5" w:rsidP="00F654F5">
      <w:pPr>
        <w:spacing w:after="0" w:line="360" w:lineRule="auto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Criteria of the assessment of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6CFC">
        <w:rPr>
          <w:rFonts w:ascii="Times New Roman" w:hAnsi="Times New Roman"/>
          <w:sz w:val="24"/>
          <w:szCs w:val="24"/>
          <w:lang w:val="en-US"/>
        </w:rPr>
        <w:t>PAEs</w:t>
      </w:r>
      <w:r>
        <w:rPr>
          <w:rFonts w:ascii="Times New Roman" w:hAnsi="Times New Roman"/>
          <w:sz w:val="24"/>
          <w:szCs w:val="24"/>
          <w:lang w:val="en-US"/>
        </w:rPr>
        <w:t xml:space="preserve"> risk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>˂0.01 –</w:t>
      </w:r>
      <w:r w:rsidRPr="004C73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C73A1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no risk or a very low level of risk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;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= 0.01-1.0 –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average level of risk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;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4C73A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˃ 1.0 –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high level of risk</w:t>
      </w:r>
      <w:r w:rsidRPr="004C73A1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14:paraId="0C1C7ABF" w14:textId="77777777" w:rsidR="00F654F5" w:rsidRP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2896F1CC" w14:textId="77777777" w:rsidR="00F654F5" w:rsidRP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11FDA3FC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79D93EB8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4B9FF997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7F0EE064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794604A3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6891B17B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5701FC07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4AE9CB25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0C846EB9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25CF1113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7DFDC0A5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162A9A80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6E7439AB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  <w:sectPr w:rsidR="00F654F5" w:rsidSect="00705B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556E5" w14:textId="77777777" w:rsidR="00F654F5" w:rsidRDefault="00F654F5" w:rsidP="00F654F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017C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Table</w:t>
      </w:r>
      <w:r w:rsidRPr="0065762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017C3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657626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Assessment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2449A">
        <w:rPr>
          <w:rFonts w:ascii="Times New Roman" w:hAnsi="Times New Roman"/>
          <w:sz w:val="24"/>
          <w:szCs w:val="24"/>
          <w:lang w:val="en-US"/>
        </w:rPr>
        <w:t>cological risk (</w:t>
      </w:r>
      <w:r>
        <w:rPr>
          <w:rFonts w:ascii="Times New Roman" w:hAnsi="Times New Roman"/>
          <w:sz w:val="24"/>
          <w:szCs w:val="24"/>
          <w:lang w:val="en-US"/>
        </w:rPr>
        <w:t>RQ</w:t>
      </w:r>
      <w:r w:rsidRPr="0052449A">
        <w:rPr>
          <w:rFonts w:ascii="Times New Roman" w:hAnsi="Times New Roman"/>
          <w:sz w:val="24"/>
          <w:szCs w:val="24"/>
          <w:lang w:val="en-US"/>
        </w:rPr>
        <w:t xml:space="preserve">) with increasing concentrations of dominant congeners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52449A">
        <w:rPr>
          <w:rFonts w:ascii="Times New Roman" w:hAnsi="Times New Roman"/>
          <w:sz w:val="24"/>
          <w:szCs w:val="24"/>
          <w:lang w:val="en-US"/>
        </w:rPr>
        <w:t xml:space="preserve">PAEs (C, </w:t>
      </w:r>
      <w:proofErr w:type="spellStart"/>
      <w:r w:rsidRPr="0052449A">
        <w:rPr>
          <w:rFonts w:ascii="Times New Roman" w:hAnsi="Times New Roman"/>
          <w:sz w:val="24"/>
          <w:szCs w:val="24"/>
          <w:lang w:val="en-US"/>
        </w:rPr>
        <w:t>μg</w:t>
      </w:r>
      <w:proofErr w:type="spellEnd"/>
      <w:r w:rsidRPr="0052449A">
        <w:rPr>
          <w:rFonts w:ascii="Times New Roman" w:hAnsi="Times New Roman"/>
          <w:sz w:val="24"/>
          <w:szCs w:val="24"/>
          <w:lang w:val="en-US"/>
        </w:rPr>
        <w:t>/l) in the water of the lake Baikal and at the mouths of the tributaries of the lake</w:t>
      </w:r>
    </w:p>
    <w:tbl>
      <w:tblPr>
        <w:tblW w:w="13779" w:type="dxa"/>
        <w:tblLook w:val="00A0" w:firstRow="1" w:lastRow="0" w:firstColumn="1" w:lastColumn="0" w:noHBand="0" w:noVBand="0"/>
      </w:tblPr>
      <w:tblGrid>
        <w:gridCol w:w="791"/>
        <w:gridCol w:w="695"/>
        <w:gridCol w:w="834"/>
        <w:gridCol w:w="696"/>
        <w:gridCol w:w="711"/>
        <w:gridCol w:w="809"/>
        <w:gridCol w:w="711"/>
        <w:gridCol w:w="707"/>
        <w:gridCol w:w="711"/>
        <w:gridCol w:w="760"/>
        <w:gridCol w:w="764"/>
        <w:gridCol w:w="638"/>
        <w:gridCol w:w="717"/>
        <w:gridCol w:w="671"/>
        <w:gridCol w:w="718"/>
        <w:gridCol w:w="698"/>
        <w:gridCol w:w="711"/>
        <w:gridCol w:w="720"/>
        <w:gridCol w:w="717"/>
      </w:tblGrid>
      <w:tr w:rsidR="00F654F5" w:rsidRPr="000F18FD" w14:paraId="74FC45CE" w14:textId="77777777" w:rsidTr="00C72FC5">
        <w:trPr>
          <w:trHeight w:val="288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73801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616C5">
              <w:rPr>
                <w:rFonts w:ascii="Times New Roman" w:hAnsi="Times New Roman"/>
                <w:color w:val="000000"/>
                <w:lang w:eastAsia="ru-RU"/>
              </w:rPr>
              <w:t>PAEs</w:t>
            </w:r>
            <w:proofErr w:type="spellEnd"/>
          </w:p>
        </w:tc>
        <w:tc>
          <w:tcPr>
            <w:tcW w:w="293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0681D2" w14:textId="77777777" w:rsidR="00F654F5" w:rsidRPr="006315B2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Pelagic zone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AF3259" w14:textId="77777777" w:rsidR="00F654F5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Under the ice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</w:p>
          <w:p w14:paraId="242B711A" w14:textId="77777777" w:rsidR="00F654F5" w:rsidRPr="00B74D73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9EB415" w14:textId="77777777" w:rsidR="00F654F5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Deep horizons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14:paraId="306F67F7" w14:textId="77777777" w:rsidR="00F654F5" w:rsidRPr="00B74D73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1500-1600 m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F43C82" w14:textId="77777777" w:rsidR="00F654F5" w:rsidRPr="006315B2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color w:val="000000"/>
                  <w:lang w:val="en-US" w:eastAsia="ru-RU"/>
                </w:rPr>
                <w:t>Selenga</w:t>
              </w:r>
            </w:smartTag>
            <w:r>
              <w:rPr>
                <w:rFonts w:ascii="Times New Roman" w:hAnsi="Times New Roman"/>
                <w:color w:val="000000"/>
                <w:lang w:val="en-US" w:eastAsia="ru-RU"/>
              </w:rPr>
              <w:t xml:space="preserve"> shallow water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0F89" w14:textId="77777777" w:rsidR="00F654F5" w:rsidRPr="006315B2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Tributaries in spring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DAB91C" w14:textId="77777777" w:rsidR="00F654F5" w:rsidRPr="006315B2" w:rsidRDefault="00F654F5" w:rsidP="00C72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Near-shore zone</w:t>
            </w:r>
          </w:p>
        </w:tc>
      </w:tr>
      <w:tr w:rsidR="00F654F5" w:rsidRPr="000F18FD" w14:paraId="3BABC4A9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bottom"/>
          </w:tcPr>
          <w:p w14:paraId="0D0EE4FD" w14:textId="77777777" w:rsidR="00F654F5" w:rsidRPr="006315B2" w:rsidRDefault="00F654F5" w:rsidP="00C72FC5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F73846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St., No 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DABD3C9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St., No 11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3E8BAD6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 xml:space="preserve">St., No </w:t>
            </w: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545E0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St., No 1</w:t>
            </w: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A8653F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 xml:space="preserve">St., No </w:t>
            </w: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103E4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 xml:space="preserve">St., No 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53F3225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 xml:space="preserve">St., No 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4739A12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St., No 2</w:t>
            </w: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EA7C35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St., No 29</w:t>
            </w:r>
          </w:p>
        </w:tc>
      </w:tr>
      <w:tr w:rsidR="00F654F5" w:rsidRPr="000F18FD" w14:paraId="1B8BB972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bottom"/>
          </w:tcPr>
          <w:p w14:paraId="47A46534" w14:textId="77777777" w:rsidR="00F654F5" w:rsidRPr="00F616C5" w:rsidRDefault="00F654F5" w:rsidP="00C72FC5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8CB659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 xml:space="preserve">C 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E061D2F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B9A9C8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736B5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7E8C37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9F792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F8C87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22EF5F6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E9EC6D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3E21B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9FF83E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3340B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FF07BCF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7CAB108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5F64AE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A49FA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A8E207C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C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9812C4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15B2">
              <w:rPr>
                <w:rFonts w:ascii="Times New Roman" w:hAnsi="Times New Roman"/>
                <w:color w:val="000000"/>
                <w:lang w:val="en-US" w:eastAsia="ru-RU"/>
              </w:rPr>
              <w:t>RQ</w:t>
            </w:r>
          </w:p>
        </w:tc>
      </w:tr>
      <w:tr w:rsidR="00F654F5" w:rsidRPr="000F18FD" w14:paraId="2CA9FCCC" w14:textId="77777777" w:rsidTr="00C72FC5">
        <w:trPr>
          <w:trHeight w:val="288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55F93E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F616C5">
              <w:rPr>
                <w:rFonts w:ascii="Times New Roman" w:hAnsi="Times New Roman"/>
                <w:color w:val="000000"/>
                <w:lang w:eastAsia="ru-RU"/>
              </w:rPr>
              <w:t>D</w:t>
            </w:r>
            <w:r w:rsidRPr="00F616C5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n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BP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bottom"/>
          </w:tcPr>
          <w:p w14:paraId="2F47AD85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14:paraId="6BD893A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018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bottom"/>
          </w:tcPr>
          <w:p w14:paraId="6EA5E47B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14:paraId="6D3B291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bottom"/>
          </w:tcPr>
          <w:p w14:paraId="11A4FCB4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bottom"/>
          </w:tcPr>
          <w:p w14:paraId="017F3DA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0.001</w:t>
            </w:r>
          </w:p>
        </w:tc>
        <w:tc>
          <w:tcPr>
            <w:tcW w:w="707" w:type="dxa"/>
            <w:tcBorders>
              <w:top w:val="single" w:sz="4" w:space="0" w:color="auto"/>
            </w:tcBorders>
            <w:noWrap/>
            <w:vAlign w:val="bottom"/>
          </w:tcPr>
          <w:p w14:paraId="096D660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14:paraId="44F0922F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026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bottom"/>
          </w:tcPr>
          <w:p w14:paraId="5C24E06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14:paraId="0DC221A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0,081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14:paraId="6B926AD2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bottom"/>
          </w:tcPr>
          <w:p w14:paraId="6B18E1FD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noWrap/>
            <w:vAlign w:val="bottom"/>
          </w:tcPr>
          <w:p w14:paraId="34A28FBC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</w:tcBorders>
            <w:noWrap/>
            <w:vAlign w:val="bottom"/>
          </w:tcPr>
          <w:p w14:paraId="5B70FDA1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noWrap/>
            <w:vAlign w:val="bottom"/>
          </w:tcPr>
          <w:p w14:paraId="18BEFDA1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</w:tcBorders>
            <w:noWrap/>
            <w:vAlign w:val="bottom"/>
          </w:tcPr>
          <w:p w14:paraId="7214D1CB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0.009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23C13D74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D9E2F3"/>
            <w:noWrap/>
            <w:vAlign w:val="bottom"/>
          </w:tcPr>
          <w:p w14:paraId="475F4369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057</w:t>
            </w:r>
          </w:p>
        </w:tc>
      </w:tr>
      <w:tr w:rsidR="00F654F5" w:rsidRPr="000F18FD" w14:paraId="43B32F94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053D5EF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5" w:type="dxa"/>
            <w:noWrap/>
            <w:vAlign w:val="bottom"/>
          </w:tcPr>
          <w:p w14:paraId="7B42F1A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shd w:val="clear" w:color="auto" w:fill="D9E2F3"/>
            <w:noWrap/>
            <w:vAlign w:val="bottom"/>
          </w:tcPr>
          <w:p w14:paraId="523DD74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077</w:t>
            </w:r>
          </w:p>
        </w:tc>
        <w:tc>
          <w:tcPr>
            <w:tcW w:w="696" w:type="dxa"/>
            <w:noWrap/>
            <w:vAlign w:val="bottom"/>
          </w:tcPr>
          <w:p w14:paraId="2979AF5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D9E2F3"/>
            <w:noWrap/>
            <w:vAlign w:val="bottom"/>
          </w:tcPr>
          <w:p w14:paraId="3C496F6F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042</w:t>
            </w:r>
          </w:p>
        </w:tc>
        <w:tc>
          <w:tcPr>
            <w:tcW w:w="809" w:type="dxa"/>
            <w:noWrap/>
            <w:vAlign w:val="bottom"/>
          </w:tcPr>
          <w:p w14:paraId="6844B75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711" w:type="dxa"/>
            <w:noWrap/>
            <w:vAlign w:val="bottom"/>
          </w:tcPr>
          <w:p w14:paraId="2F3A390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0.004</w:t>
            </w:r>
          </w:p>
        </w:tc>
        <w:tc>
          <w:tcPr>
            <w:tcW w:w="707" w:type="dxa"/>
            <w:noWrap/>
            <w:vAlign w:val="bottom"/>
          </w:tcPr>
          <w:p w14:paraId="67ABAD9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D9E2F3"/>
            <w:noWrap/>
            <w:vAlign w:val="bottom"/>
          </w:tcPr>
          <w:p w14:paraId="403076F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760" w:type="dxa"/>
            <w:noWrap/>
            <w:vAlign w:val="bottom"/>
          </w:tcPr>
          <w:p w14:paraId="1E4FCEA6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4" w:type="dxa"/>
            <w:shd w:val="clear" w:color="auto" w:fill="D9E2F3"/>
            <w:noWrap/>
            <w:vAlign w:val="bottom"/>
          </w:tcPr>
          <w:p w14:paraId="76B77AA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0,348</w:t>
            </w:r>
          </w:p>
        </w:tc>
        <w:tc>
          <w:tcPr>
            <w:tcW w:w="638" w:type="dxa"/>
            <w:vAlign w:val="bottom"/>
          </w:tcPr>
          <w:p w14:paraId="77E8B23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dxa"/>
            <w:vAlign w:val="bottom"/>
          </w:tcPr>
          <w:p w14:paraId="350A5461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001</w:t>
            </w:r>
          </w:p>
        </w:tc>
        <w:tc>
          <w:tcPr>
            <w:tcW w:w="671" w:type="dxa"/>
            <w:noWrap/>
            <w:vAlign w:val="bottom"/>
          </w:tcPr>
          <w:p w14:paraId="6853EA1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18" w:type="dxa"/>
            <w:noWrap/>
            <w:vAlign w:val="bottom"/>
          </w:tcPr>
          <w:p w14:paraId="7647B6C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002</w:t>
            </w:r>
          </w:p>
        </w:tc>
        <w:tc>
          <w:tcPr>
            <w:tcW w:w="698" w:type="dxa"/>
            <w:noWrap/>
            <w:vAlign w:val="bottom"/>
          </w:tcPr>
          <w:p w14:paraId="383B4B3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1" w:type="dxa"/>
            <w:shd w:val="clear" w:color="auto" w:fill="D9E2F3"/>
            <w:noWrap/>
            <w:vAlign w:val="bottom"/>
          </w:tcPr>
          <w:p w14:paraId="55C0E72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0.039</w:t>
            </w:r>
          </w:p>
        </w:tc>
        <w:tc>
          <w:tcPr>
            <w:tcW w:w="720" w:type="dxa"/>
            <w:noWrap/>
            <w:vAlign w:val="bottom"/>
          </w:tcPr>
          <w:p w14:paraId="647188A8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D9E2F3"/>
            <w:noWrap/>
            <w:vAlign w:val="bottom"/>
          </w:tcPr>
          <w:p w14:paraId="729470A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245</w:t>
            </w:r>
          </w:p>
        </w:tc>
      </w:tr>
      <w:tr w:rsidR="00F654F5" w:rsidRPr="000F18FD" w14:paraId="5225CCC8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C352A7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bottom"/>
          </w:tcPr>
          <w:p w14:paraId="2EABE29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131F9066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253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bottom"/>
          </w:tcPr>
          <w:p w14:paraId="3CF3439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5B75BE7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bottom"/>
          </w:tcPr>
          <w:p w14:paraId="4F18D2A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0.13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0656B222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0.013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vAlign w:val="bottom"/>
          </w:tcPr>
          <w:p w14:paraId="46FC64D2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5BB4950B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370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bottom"/>
          </w:tcPr>
          <w:p w14:paraId="39C6AF26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7CAAC"/>
            <w:noWrap/>
            <w:vAlign w:val="bottom"/>
          </w:tcPr>
          <w:p w14:paraId="163A0AB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14:paraId="4BB9D403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bottom"/>
          </w:tcPr>
          <w:p w14:paraId="33076682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004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noWrap/>
            <w:vAlign w:val="bottom"/>
          </w:tcPr>
          <w:p w14:paraId="3DF466E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</w:tcPr>
          <w:p w14:paraId="641BEE40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008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vAlign w:val="bottom"/>
          </w:tcPr>
          <w:p w14:paraId="1E8FFAA6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148F6D4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0.130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5D5FEE6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44497BF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</w:tr>
      <w:tr w:rsidR="00F654F5" w:rsidRPr="000F18FD" w14:paraId="0F6C5CB1" w14:textId="77777777" w:rsidTr="00C72FC5">
        <w:trPr>
          <w:trHeight w:val="288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2DFFE2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DEHP</w:t>
            </w:r>
          </w:p>
        </w:tc>
        <w:tc>
          <w:tcPr>
            <w:tcW w:w="695" w:type="dxa"/>
            <w:tcBorders>
              <w:top w:val="single" w:sz="4" w:space="0" w:color="auto"/>
            </w:tcBorders>
            <w:noWrap/>
            <w:vAlign w:val="bottom"/>
          </w:tcPr>
          <w:p w14:paraId="72BE31C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0589883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bottom"/>
          </w:tcPr>
          <w:p w14:paraId="083BCB3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78EF2ADB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</w:tcBorders>
            <w:noWrap/>
            <w:vAlign w:val="bottom"/>
          </w:tcPr>
          <w:p w14:paraId="0A4C10C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232BF6C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noWrap/>
            <w:vAlign w:val="bottom"/>
          </w:tcPr>
          <w:p w14:paraId="68A65C3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512CD830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noWrap/>
            <w:vAlign w:val="bottom"/>
          </w:tcPr>
          <w:p w14:paraId="406E8F5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6C7DD7A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14:paraId="32C6A305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F7CAAC"/>
            <w:vAlign w:val="bottom"/>
          </w:tcPr>
          <w:p w14:paraId="0968B4C9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</w:tcBorders>
            <w:noWrap/>
            <w:vAlign w:val="bottom"/>
          </w:tcPr>
          <w:p w14:paraId="10EC3ED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5232897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noWrap/>
            <w:vAlign w:val="bottom"/>
          </w:tcPr>
          <w:p w14:paraId="77D0037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02214A9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</w:tcPr>
          <w:p w14:paraId="5237476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F7CAAC"/>
            <w:noWrap/>
            <w:vAlign w:val="bottom"/>
          </w:tcPr>
          <w:p w14:paraId="2DBB8F1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654F5" w:rsidRPr="000F18FD" w14:paraId="76943991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bottom"/>
          </w:tcPr>
          <w:p w14:paraId="4B2C99CA" w14:textId="77777777" w:rsidR="00F654F5" w:rsidRPr="00F616C5" w:rsidRDefault="00F654F5" w:rsidP="00C72FC5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5" w:type="dxa"/>
            <w:noWrap/>
            <w:vAlign w:val="bottom"/>
          </w:tcPr>
          <w:p w14:paraId="0914A9A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dxa"/>
            <w:shd w:val="clear" w:color="auto" w:fill="D9E2F3"/>
            <w:noWrap/>
            <w:vAlign w:val="bottom"/>
          </w:tcPr>
          <w:p w14:paraId="78BD729C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494</w:t>
            </w:r>
          </w:p>
        </w:tc>
        <w:tc>
          <w:tcPr>
            <w:tcW w:w="696" w:type="dxa"/>
            <w:noWrap/>
            <w:vAlign w:val="bottom"/>
          </w:tcPr>
          <w:p w14:paraId="16E2D00C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7CAAC"/>
            <w:noWrap/>
            <w:vAlign w:val="bottom"/>
          </w:tcPr>
          <w:p w14:paraId="16541C20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09" w:type="dxa"/>
            <w:noWrap/>
            <w:vAlign w:val="bottom"/>
          </w:tcPr>
          <w:p w14:paraId="33C7C13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F7CAAC"/>
            <w:noWrap/>
            <w:vAlign w:val="bottom"/>
          </w:tcPr>
          <w:p w14:paraId="114BCFF8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7" w:type="dxa"/>
            <w:noWrap/>
            <w:vAlign w:val="bottom"/>
          </w:tcPr>
          <w:p w14:paraId="24761C0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7CAAC"/>
            <w:noWrap/>
            <w:vAlign w:val="bottom"/>
          </w:tcPr>
          <w:p w14:paraId="621E4EEC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noWrap/>
            <w:vAlign w:val="bottom"/>
          </w:tcPr>
          <w:p w14:paraId="3FC6A2C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shd w:val="clear" w:color="auto" w:fill="D9E2F3"/>
            <w:noWrap/>
            <w:vAlign w:val="bottom"/>
          </w:tcPr>
          <w:p w14:paraId="425F8D7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909</w:t>
            </w:r>
          </w:p>
        </w:tc>
        <w:tc>
          <w:tcPr>
            <w:tcW w:w="638" w:type="dxa"/>
            <w:vAlign w:val="bottom"/>
          </w:tcPr>
          <w:p w14:paraId="66C34B59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shd w:val="clear" w:color="auto" w:fill="D9E2F3"/>
            <w:vAlign w:val="bottom"/>
          </w:tcPr>
          <w:p w14:paraId="6D2E80DA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671" w:type="dxa"/>
            <w:noWrap/>
            <w:vAlign w:val="bottom"/>
          </w:tcPr>
          <w:p w14:paraId="2C121E2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18" w:type="dxa"/>
            <w:shd w:val="clear" w:color="auto" w:fill="D9E2F3"/>
            <w:noWrap/>
            <w:vAlign w:val="bottom"/>
          </w:tcPr>
          <w:p w14:paraId="4E1AF0C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442</w:t>
            </w:r>
          </w:p>
        </w:tc>
        <w:tc>
          <w:tcPr>
            <w:tcW w:w="698" w:type="dxa"/>
            <w:noWrap/>
            <w:vAlign w:val="bottom"/>
          </w:tcPr>
          <w:p w14:paraId="7A93770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711" w:type="dxa"/>
            <w:shd w:val="clear" w:color="auto" w:fill="D9E2F3"/>
            <w:noWrap/>
            <w:vAlign w:val="bottom"/>
          </w:tcPr>
          <w:p w14:paraId="064B247D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0.312</w:t>
            </w:r>
          </w:p>
        </w:tc>
        <w:tc>
          <w:tcPr>
            <w:tcW w:w="720" w:type="dxa"/>
            <w:noWrap/>
            <w:vAlign w:val="bottom"/>
          </w:tcPr>
          <w:p w14:paraId="0BC37F2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.0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shd w:val="clear" w:color="auto" w:fill="D9E2F3"/>
            <w:noWrap/>
            <w:vAlign w:val="bottom"/>
          </w:tcPr>
          <w:p w14:paraId="65F1569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909</w:t>
            </w:r>
          </w:p>
        </w:tc>
      </w:tr>
      <w:tr w:rsidR="00F654F5" w:rsidRPr="000F18FD" w14:paraId="1393EF4E" w14:textId="77777777" w:rsidTr="00C72FC5">
        <w:trPr>
          <w:trHeight w:val="288"/>
        </w:trPr>
        <w:tc>
          <w:tcPr>
            <w:tcW w:w="791" w:type="dxa"/>
            <w:vMerge/>
            <w:tcBorders>
              <w:bottom w:val="single" w:sz="4" w:space="0" w:color="auto"/>
            </w:tcBorders>
            <w:noWrap/>
            <w:vAlign w:val="bottom"/>
          </w:tcPr>
          <w:p w14:paraId="2F7177E6" w14:textId="77777777" w:rsidR="00F654F5" w:rsidRPr="00F616C5" w:rsidRDefault="00F654F5" w:rsidP="00C72FC5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noWrap/>
            <w:vAlign w:val="bottom"/>
          </w:tcPr>
          <w:p w14:paraId="2F116EB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4AD18393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063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bottom"/>
          </w:tcPr>
          <w:p w14:paraId="62B18C78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5066D147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noWrap/>
            <w:vAlign w:val="bottom"/>
          </w:tcPr>
          <w:p w14:paraId="13776A0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672B9B8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967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vAlign w:val="bottom"/>
          </w:tcPr>
          <w:p w14:paraId="0EFB90F2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63F45F24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616C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616C5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noWrap/>
            <w:vAlign w:val="bottom"/>
          </w:tcPr>
          <w:p w14:paraId="30F2D001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</w:t>
            </w:r>
            <w:r w:rsidRPr="00946375">
              <w:rPr>
                <w:rFonts w:ascii="Times New Roman" w:hAnsi="Times New Roman"/>
                <w:color w:val="000000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6E228DBA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</w:t>
            </w:r>
            <w:r w:rsidRPr="00946375">
              <w:rPr>
                <w:rFonts w:ascii="Times New Roman" w:hAnsi="Times New Roman"/>
                <w:color w:val="000000"/>
              </w:rPr>
              <w:t>.</w:t>
            </w:r>
            <w:r w:rsidRPr="000F18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bottom"/>
          </w:tcPr>
          <w:p w14:paraId="3EA410D5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D9E2F3"/>
            <w:vAlign w:val="bottom"/>
          </w:tcPr>
          <w:p w14:paraId="37268363" w14:textId="77777777" w:rsidR="00F654F5" w:rsidRPr="006315B2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042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noWrap/>
            <w:vAlign w:val="bottom"/>
          </w:tcPr>
          <w:p w14:paraId="5B8B35CB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069B9BD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67D8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6315B2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FF67D8">
              <w:rPr>
                <w:rFonts w:ascii="Times New Roman" w:hAnsi="Times New Roman"/>
                <w:color w:val="000000"/>
                <w:lang w:eastAsia="ru-RU"/>
              </w:rPr>
              <w:t>057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noWrap/>
            <w:vAlign w:val="bottom"/>
          </w:tcPr>
          <w:p w14:paraId="1AB75570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0.24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06556F99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F18FD">
              <w:rPr>
                <w:rFonts w:ascii="Times New Roman" w:hAnsi="Times New Roman"/>
                <w:color w:val="000000"/>
              </w:rPr>
              <w:t>0.040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bottom"/>
          </w:tcPr>
          <w:p w14:paraId="16A7061E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D9E2F3"/>
            <w:noWrap/>
            <w:vAlign w:val="bottom"/>
          </w:tcPr>
          <w:p w14:paraId="20A275F5" w14:textId="77777777" w:rsidR="00F654F5" w:rsidRPr="00F616C5" w:rsidRDefault="00F654F5" w:rsidP="00C72FC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03D2F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003D2F">
              <w:rPr>
                <w:rFonts w:ascii="Times New Roman" w:hAnsi="Times New Roman"/>
                <w:color w:val="000000"/>
                <w:lang w:eastAsia="ru-RU"/>
              </w:rPr>
              <w:t>117</w:t>
            </w:r>
          </w:p>
        </w:tc>
      </w:tr>
    </w:tbl>
    <w:p w14:paraId="2D5038C3" w14:textId="77777777" w:rsidR="00F654F5" w:rsidRPr="00946375" w:rsidRDefault="00F654F5" w:rsidP="00F654F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bookmarkStart w:id="0" w:name="_Hlk138950400"/>
      <w:r>
        <w:rPr>
          <w:rFonts w:ascii="Times New Roman" w:hAnsi="Times New Roman"/>
          <w:sz w:val="24"/>
          <w:szCs w:val="24"/>
          <w:lang w:val="en-US"/>
        </w:rPr>
        <w:t>Criteria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assessment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4152">
        <w:rPr>
          <w:rFonts w:ascii="Times New Roman" w:hAnsi="Times New Roman"/>
          <w:sz w:val="24"/>
          <w:szCs w:val="24"/>
          <w:lang w:val="en-US"/>
        </w:rPr>
        <w:t>PAEs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risk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>˂0.01 –</w:t>
      </w:r>
      <w:r w:rsidRPr="0094637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46375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no risk or a very low level of risk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;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= 0.01-1.0 –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average level of risk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;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˃ 1.0 –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high level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; </w:t>
      </w:r>
      <w:r w:rsidRPr="006315B2">
        <w:rPr>
          <w:rFonts w:ascii="Times New Roman" w:hAnsi="Times New Roman"/>
          <w:sz w:val="24"/>
          <w:szCs w:val="24"/>
          <w:lang w:val="en-US"/>
        </w:rPr>
        <w:t>RQ</w:t>
      </w:r>
      <w:r w:rsidRPr="0094637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˃˃ 1.0 –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high level</w:t>
      </w:r>
      <w:r w:rsidRPr="00946375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bookmarkEnd w:id="0"/>
    <w:p w14:paraId="799E57DE" w14:textId="77777777" w:rsidR="00F654F5" w:rsidRPr="00743E91" w:rsidRDefault="00F654F5" w:rsidP="00F654F5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Hydrobionts</w:t>
      </w:r>
      <w:proofErr w:type="spellEnd"/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species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and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quantities values of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6315B2">
        <w:rPr>
          <w:rFonts w:ascii="Times New Roman" w:hAnsi="Times New Roman"/>
          <w:color w:val="000000"/>
          <w:sz w:val="24"/>
          <w:szCs w:val="24"/>
          <w:lang w:val="en-US" w:eastAsia="ru-RU"/>
        </w:rPr>
        <w:t>PNEC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(µ</w:t>
      </w:r>
      <w:r w:rsidRPr="006315B2">
        <w:rPr>
          <w:rFonts w:ascii="Times New Roman" w:hAnsi="Times New Roman"/>
          <w:color w:val="000000"/>
          <w:sz w:val="24"/>
          <w:szCs w:val="24"/>
          <w:lang w:val="en-US" w:eastAsia="ru-RU"/>
        </w:rPr>
        <w:t>g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>/</w:t>
      </w:r>
      <w:r w:rsidRPr="006315B2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Pr="00743E91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are presented in the </w:t>
      </w:r>
      <w:r w:rsidRPr="00743E91">
        <w:rPr>
          <w:rFonts w:ascii="Times New Roman" w:hAnsi="Times New Roman"/>
          <w:b/>
          <w:bCs/>
          <w:sz w:val="24"/>
          <w:szCs w:val="24"/>
          <w:lang w:val="en-US"/>
        </w:rPr>
        <w:t>Table S2</w:t>
      </w:r>
      <w:r w:rsidRPr="00743E91">
        <w:rPr>
          <w:rFonts w:ascii="Times New Roman" w:hAnsi="Times New Roman"/>
          <w:sz w:val="24"/>
          <w:szCs w:val="24"/>
          <w:lang w:val="en-US"/>
        </w:rPr>
        <w:t>.</w:t>
      </w:r>
    </w:p>
    <w:p w14:paraId="723810A7" w14:textId="77777777" w:rsid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p w14:paraId="1E77BD9B" w14:textId="77777777" w:rsidR="00F654F5" w:rsidRPr="00F654F5" w:rsidRDefault="00F654F5">
      <w:pPr>
        <w:rPr>
          <w:rFonts w:ascii="Times New Roman" w:hAnsi="Times New Roman"/>
          <w:sz w:val="20"/>
          <w:szCs w:val="20"/>
          <w:lang w:val="en-US"/>
        </w:rPr>
      </w:pPr>
    </w:p>
    <w:sectPr w:rsidR="00F654F5" w:rsidRPr="00F654F5" w:rsidSect="00F65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4E"/>
    <w:rsid w:val="000F4E5A"/>
    <w:rsid w:val="00176DF8"/>
    <w:rsid w:val="00190F54"/>
    <w:rsid w:val="002476D1"/>
    <w:rsid w:val="00390D6E"/>
    <w:rsid w:val="00414987"/>
    <w:rsid w:val="004277A3"/>
    <w:rsid w:val="00433E13"/>
    <w:rsid w:val="00496555"/>
    <w:rsid w:val="00507F4E"/>
    <w:rsid w:val="00547DE4"/>
    <w:rsid w:val="005F3EBA"/>
    <w:rsid w:val="00640A47"/>
    <w:rsid w:val="00705B0D"/>
    <w:rsid w:val="0077515A"/>
    <w:rsid w:val="007B11CA"/>
    <w:rsid w:val="00812FD0"/>
    <w:rsid w:val="00866734"/>
    <w:rsid w:val="00890850"/>
    <w:rsid w:val="00917908"/>
    <w:rsid w:val="00CB2B88"/>
    <w:rsid w:val="00D03C89"/>
    <w:rsid w:val="00E83A58"/>
    <w:rsid w:val="00F654F5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1869BDDB"/>
  <w15:docId w15:val="{367353EC-D864-47A3-8C1B-4CB355C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2023-08-17T17:09:00Z</dcterms:created>
  <dcterms:modified xsi:type="dcterms:W3CDTF">2023-08-17T17:09:00Z</dcterms:modified>
</cp:coreProperties>
</file>