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A547D" w14:textId="77777777" w:rsidR="00B229B9" w:rsidRPr="006453D9" w:rsidRDefault="00B229B9" w:rsidP="00B229B9">
      <w:pPr>
        <w:pStyle w:val="MDPI11articletype"/>
      </w:pPr>
      <w:r w:rsidRPr="00F6245A">
        <w:t>Communication</w:t>
      </w:r>
    </w:p>
    <w:p w14:paraId="2C77E4CD" w14:textId="77777777" w:rsidR="00B229B9" w:rsidRDefault="00B229B9" w:rsidP="00B229B9">
      <w:pPr>
        <w:pStyle w:val="MDPI13authornames"/>
        <w:jc w:val="both"/>
        <w:rPr>
          <w:snapToGrid w:val="0"/>
          <w:sz w:val="36"/>
          <w:szCs w:val="36"/>
        </w:rPr>
      </w:pPr>
      <w:r>
        <w:rPr>
          <w:snapToGrid w:val="0"/>
          <w:sz w:val="36"/>
          <w:szCs w:val="36"/>
        </w:rPr>
        <w:t xml:space="preserve">Development and characterization of human oligodendroglioma cellular model </w:t>
      </w:r>
      <w:r w:rsidRPr="003C3181">
        <w:rPr>
          <w:snapToGrid w:val="0"/>
          <w:sz w:val="36"/>
          <w:szCs w:val="36"/>
        </w:rPr>
        <w:t xml:space="preserve">as </w:t>
      </w:r>
      <w:r>
        <w:rPr>
          <w:snapToGrid w:val="0"/>
          <w:sz w:val="36"/>
          <w:szCs w:val="36"/>
        </w:rPr>
        <w:t xml:space="preserve">a </w:t>
      </w:r>
      <w:r w:rsidRPr="003C3181">
        <w:rPr>
          <w:snapToGrid w:val="0"/>
          <w:sz w:val="36"/>
          <w:szCs w:val="36"/>
        </w:rPr>
        <w:t xml:space="preserve">useful tool to study </w:t>
      </w:r>
      <w:r>
        <w:rPr>
          <w:snapToGrid w:val="0"/>
          <w:sz w:val="36"/>
          <w:szCs w:val="36"/>
        </w:rPr>
        <w:t>iron role in tumor cell: preliminary results and future prospective.</w:t>
      </w:r>
    </w:p>
    <w:p w14:paraId="20D1F534" w14:textId="51A369EC" w:rsidR="00444F0F" w:rsidRDefault="00444F0F" w:rsidP="00444F0F">
      <w:pPr>
        <w:pStyle w:val="MDPI71References"/>
        <w:numPr>
          <w:ilvl w:val="0"/>
          <w:numId w:val="0"/>
        </w:numPr>
        <w:ind w:left="425" w:hanging="425"/>
      </w:pPr>
    </w:p>
    <w:p w14:paraId="2DC29B47" w14:textId="061C8B27" w:rsidR="00CF1504" w:rsidRDefault="00CF1504" w:rsidP="00CF1504">
      <w:pPr>
        <w:spacing w:line="240" w:lineRule="auto"/>
        <w:rPr>
          <w:rFonts w:cs="Arial"/>
          <w:b/>
          <w:color w:val="auto"/>
        </w:rPr>
      </w:pPr>
      <w:r w:rsidRPr="00B229B9">
        <w:rPr>
          <w:rFonts w:cs="Arial"/>
          <w:b/>
          <w:color w:val="auto"/>
        </w:rPr>
        <w:t xml:space="preserve">Supplementary </w:t>
      </w:r>
      <w:r>
        <w:rPr>
          <w:rFonts w:cs="Arial"/>
          <w:b/>
          <w:color w:val="auto"/>
        </w:rPr>
        <w:t>Material and Methods</w:t>
      </w:r>
    </w:p>
    <w:p w14:paraId="222CB6C2" w14:textId="77777777" w:rsidR="003F23A1" w:rsidRDefault="003F23A1" w:rsidP="00CF1504">
      <w:pPr>
        <w:spacing w:line="240" w:lineRule="auto"/>
        <w:rPr>
          <w:rFonts w:cs="Arial"/>
          <w:b/>
          <w:color w:val="auto"/>
        </w:rPr>
      </w:pPr>
    </w:p>
    <w:p w14:paraId="6D8FE8EA" w14:textId="3946386F" w:rsidR="005B2840" w:rsidRPr="00DB486D" w:rsidRDefault="005B2840" w:rsidP="00374955">
      <w:pPr>
        <w:pStyle w:val="MDPI31text"/>
        <w:ind w:left="0" w:firstLine="0"/>
        <w:rPr>
          <w:color w:val="auto"/>
        </w:rPr>
      </w:pPr>
      <w:r w:rsidRPr="00DB486D">
        <w:rPr>
          <w:rFonts w:eastAsia="Palatino Linotype" w:cs="Palatino Linotype"/>
          <w:b/>
          <w:bCs/>
          <w:i/>
          <w:iCs/>
          <w:color w:val="auto"/>
          <w:szCs w:val="20"/>
        </w:rPr>
        <w:t>Confocal Laser Scanning Microscope analysis</w:t>
      </w:r>
      <w:r w:rsidR="00BB083D" w:rsidRPr="00DB486D">
        <w:rPr>
          <w:rFonts w:eastAsia="Palatino Linotype" w:cs="Palatino Linotype"/>
          <w:b/>
          <w:bCs/>
          <w:i/>
          <w:iCs/>
          <w:color w:val="auto"/>
          <w:szCs w:val="20"/>
        </w:rPr>
        <w:t xml:space="preserve"> (</w:t>
      </w:r>
      <w:r w:rsidR="00BB083D" w:rsidRPr="00DB486D">
        <w:rPr>
          <w:color w:val="auto"/>
        </w:rPr>
        <w:t xml:space="preserve">by </w:t>
      </w:r>
      <w:r w:rsidR="00393EB6">
        <w:rPr>
          <w:color w:val="auto"/>
        </w:rPr>
        <w:t xml:space="preserve">ALEMBIC, </w:t>
      </w:r>
      <w:r w:rsidR="00BB083D" w:rsidRPr="00DB486D">
        <w:rPr>
          <w:color w:val="auto"/>
        </w:rPr>
        <w:t xml:space="preserve">IRCCS San Raffaele and </w:t>
      </w:r>
      <w:proofErr w:type="spellStart"/>
      <w:r w:rsidR="00BB083D" w:rsidRPr="00DB486D">
        <w:rPr>
          <w:color w:val="auto"/>
        </w:rPr>
        <w:t>Università</w:t>
      </w:r>
      <w:proofErr w:type="spellEnd"/>
      <w:r w:rsidR="00BB083D" w:rsidRPr="00DB486D">
        <w:rPr>
          <w:color w:val="auto"/>
        </w:rPr>
        <w:t xml:space="preserve"> Vita-Salute San Raffaele)</w:t>
      </w:r>
    </w:p>
    <w:p w14:paraId="031EC99F" w14:textId="77777777" w:rsidR="00D1061A" w:rsidRPr="00DB486D" w:rsidRDefault="00D1061A" w:rsidP="00D1061A">
      <w:pPr>
        <w:pStyle w:val="MDPI31text"/>
        <w:ind w:left="0" w:firstLine="0"/>
        <w:rPr>
          <w:rFonts w:eastAsia="Palatino Linotype" w:cs="Palatino Linotype"/>
          <w:b/>
          <w:bCs/>
          <w:i/>
          <w:iCs/>
          <w:color w:val="auto"/>
          <w:szCs w:val="20"/>
        </w:rPr>
      </w:pPr>
    </w:p>
    <w:p w14:paraId="49125C5A" w14:textId="75AA6535" w:rsidR="00374955" w:rsidRPr="00374955" w:rsidRDefault="00374955" w:rsidP="005B2840">
      <w:pPr>
        <w:pStyle w:val="MDPI31text"/>
        <w:ind w:left="0" w:firstLine="0"/>
        <w:rPr>
          <w:rFonts w:eastAsia="Palatino Linotype" w:cs="Palatino Linotype"/>
          <w:color w:val="auto"/>
          <w:szCs w:val="20"/>
        </w:rPr>
      </w:pPr>
      <w:r w:rsidRPr="00374955">
        <w:rPr>
          <w:rFonts w:eastAsia="Palatino Linotype" w:cs="Palatino Linotype"/>
          <w:color w:val="auto"/>
          <w:szCs w:val="20"/>
        </w:rPr>
        <w:t xml:space="preserve">Cells were seeded onto 25 mm diameter glass-coverslips (CLS1760-025 </w:t>
      </w:r>
      <w:proofErr w:type="spellStart"/>
      <w:r w:rsidRPr="00374955">
        <w:rPr>
          <w:rFonts w:eastAsia="Palatino Linotype" w:cs="Palatino Linotype"/>
          <w:color w:val="auto"/>
          <w:szCs w:val="20"/>
        </w:rPr>
        <w:t>Chemglass</w:t>
      </w:r>
      <w:proofErr w:type="spellEnd"/>
      <w:r w:rsidRPr="00374955">
        <w:rPr>
          <w:rFonts w:eastAsia="Palatino Linotype" w:cs="Palatino Linotype"/>
          <w:color w:val="auto"/>
          <w:szCs w:val="20"/>
        </w:rPr>
        <w:t xml:space="preserve"> Life Sciences LLC, USA) in complete medium supplemented or not </w:t>
      </w:r>
      <w:r w:rsidR="003A2C0B">
        <w:rPr>
          <w:rFonts w:eastAsia="Palatino Linotype" w:cs="Palatino Linotype"/>
          <w:color w:val="auto"/>
          <w:szCs w:val="20"/>
        </w:rPr>
        <w:t xml:space="preserve">supplemented </w:t>
      </w:r>
      <w:r w:rsidRPr="00374955">
        <w:rPr>
          <w:rFonts w:eastAsia="Palatino Linotype" w:cs="Palatino Linotype"/>
          <w:color w:val="auto"/>
          <w:szCs w:val="20"/>
        </w:rPr>
        <w:t>with ferric citrate.</w:t>
      </w:r>
      <w:r w:rsidRPr="00374955">
        <w:rPr>
          <w:rFonts w:eastAsia="Palatino Linotype" w:cs="Palatino Linotype"/>
          <w:color w:val="auto"/>
          <w:szCs w:val="20"/>
        </w:rPr>
        <w:br/>
      </w:r>
      <w:r w:rsidRPr="00027430">
        <w:rPr>
          <w:rFonts w:eastAsia="Palatino Linotype" w:cs="Palatino Linotype"/>
          <w:color w:val="auto"/>
          <w:szCs w:val="20"/>
        </w:rPr>
        <w:t xml:space="preserve">Before the analysis, cells were rinsed twice in PBS and incubated for one hour in a complete medium supplemented or not with 10 µM of ferric citrate </w:t>
      </w:r>
      <w:r w:rsidR="000C0B2B" w:rsidRPr="00027430">
        <w:rPr>
          <w:rFonts w:eastAsia="Palatino Linotype" w:cs="Palatino Linotype"/>
          <w:color w:val="auto"/>
          <w:szCs w:val="20"/>
        </w:rPr>
        <w:t>in the</w:t>
      </w:r>
      <w:r w:rsidR="000C0B2B">
        <w:rPr>
          <w:rFonts w:eastAsia="Palatino Linotype" w:cs="Palatino Linotype"/>
          <w:color w:val="auto"/>
          <w:szCs w:val="20"/>
        </w:rPr>
        <w:t xml:space="preserve"> presence of 5 µM Rhonox-1.</w:t>
      </w:r>
      <w:r w:rsidRPr="00374955">
        <w:rPr>
          <w:rFonts w:eastAsia="Palatino Linotype" w:cs="Palatino Linotype"/>
          <w:color w:val="auto"/>
          <w:szCs w:val="20"/>
        </w:rPr>
        <w:t xml:space="preserve"> For nuclei counterstaining, 5 µg/mL of Hoechst 33-258 was added to all the tested conditions during the last 20 minutes of incubation. </w:t>
      </w:r>
    </w:p>
    <w:p w14:paraId="63097BF7" w14:textId="76217AB9" w:rsidR="00CF1504" w:rsidRDefault="00374955" w:rsidP="00374955">
      <w:pPr>
        <w:pStyle w:val="MDPI31text"/>
        <w:ind w:left="0" w:firstLine="0"/>
        <w:rPr>
          <w:rFonts w:eastAsia="Palatino Linotype" w:cs="Palatino Linotype"/>
          <w:color w:val="auto"/>
          <w:szCs w:val="20"/>
        </w:rPr>
      </w:pPr>
      <w:bookmarkStart w:id="0" w:name="_Hlk145089308"/>
      <w:r w:rsidRPr="00374955">
        <w:rPr>
          <w:rFonts w:eastAsia="Palatino Linotype" w:cs="Palatino Linotype"/>
          <w:color w:val="auto"/>
          <w:szCs w:val="20"/>
        </w:rPr>
        <w:t xml:space="preserve">All images were collected with an Olympus </w:t>
      </w:r>
      <w:proofErr w:type="spellStart"/>
      <w:r w:rsidRPr="00374955">
        <w:rPr>
          <w:rFonts w:eastAsia="Palatino Linotype" w:cs="Palatino Linotype"/>
          <w:color w:val="auto"/>
          <w:szCs w:val="20"/>
        </w:rPr>
        <w:t>fluoVIEW</w:t>
      </w:r>
      <w:proofErr w:type="spellEnd"/>
      <w:r w:rsidRPr="00374955">
        <w:rPr>
          <w:rFonts w:eastAsia="Palatino Linotype" w:cs="Palatino Linotype"/>
          <w:color w:val="auto"/>
          <w:szCs w:val="20"/>
        </w:rPr>
        <w:t xml:space="preserve"> FV3000RS Confocal microscope </w:t>
      </w:r>
      <w:bookmarkEnd w:id="0"/>
      <w:r w:rsidRPr="00374955">
        <w:rPr>
          <w:rFonts w:eastAsia="Palatino Linotype" w:cs="Palatino Linotype"/>
          <w:color w:val="auto"/>
          <w:szCs w:val="20"/>
        </w:rPr>
        <w:t xml:space="preserve">equipped with </w:t>
      </w:r>
      <w:r w:rsidR="003A2C0B">
        <w:rPr>
          <w:rFonts w:eastAsia="Palatino Linotype" w:cs="Palatino Linotype"/>
          <w:color w:val="auto"/>
          <w:szCs w:val="20"/>
        </w:rPr>
        <w:t>a</w:t>
      </w:r>
      <w:r w:rsidRPr="00374955">
        <w:rPr>
          <w:rFonts w:eastAsia="Palatino Linotype" w:cs="Palatino Linotype"/>
          <w:color w:val="auto"/>
          <w:szCs w:val="20"/>
        </w:rPr>
        <w:t xml:space="preserve"> UPLSAPO 60XS (NA 1.3) silicone oil lens </w:t>
      </w:r>
      <w:r w:rsidR="003A2C0B">
        <w:rPr>
          <w:rFonts w:eastAsia="Palatino Linotype" w:cs="Palatino Linotype"/>
          <w:color w:val="auto"/>
          <w:szCs w:val="20"/>
        </w:rPr>
        <w:t>s</w:t>
      </w:r>
      <w:r w:rsidRPr="00374955">
        <w:rPr>
          <w:rFonts w:eastAsia="Palatino Linotype" w:cs="Palatino Linotype"/>
          <w:color w:val="auto"/>
          <w:szCs w:val="20"/>
        </w:rPr>
        <w:t xml:space="preserve">ingle confocal sections adopted independent configuration settings to avoid possible crosstalk during acquisition. Fe2+ and Hoechst 33-258 </w:t>
      </w:r>
      <w:r w:rsidR="003A2C0B">
        <w:rPr>
          <w:rFonts w:eastAsia="Palatino Linotype" w:cs="Palatino Linotype"/>
          <w:color w:val="auto"/>
          <w:szCs w:val="20"/>
        </w:rPr>
        <w:t>were</w:t>
      </w:r>
      <w:r w:rsidRPr="00374955">
        <w:rPr>
          <w:rFonts w:eastAsia="Palatino Linotype" w:cs="Palatino Linotype"/>
          <w:color w:val="auto"/>
          <w:szCs w:val="20"/>
        </w:rPr>
        <w:t xml:space="preserve"> excited at 405nm LL (laser line) with a spectral detection ranging from 430nm to 470nm</w:t>
      </w:r>
      <w:r w:rsidR="003A2C0B">
        <w:rPr>
          <w:rFonts w:eastAsia="Palatino Linotype" w:cs="Palatino Linotype"/>
          <w:color w:val="auto"/>
          <w:szCs w:val="20"/>
        </w:rPr>
        <w:t>.</w:t>
      </w:r>
      <w:r w:rsidRPr="00374955">
        <w:rPr>
          <w:rFonts w:eastAsia="Palatino Linotype" w:cs="Palatino Linotype"/>
          <w:color w:val="auto"/>
          <w:szCs w:val="20"/>
        </w:rPr>
        <w:t xml:space="preserve"> The emission of Rhonox-1 signal excited at 561 nm LL was collected with a spectral detection ranging from 570 to 620nm</w:t>
      </w:r>
      <w:r>
        <w:rPr>
          <w:rFonts w:eastAsia="Palatino Linotype" w:cs="Palatino Linotype"/>
          <w:color w:val="auto"/>
          <w:szCs w:val="20"/>
        </w:rPr>
        <w:t>.</w:t>
      </w:r>
    </w:p>
    <w:p w14:paraId="28F3567A" w14:textId="77777777" w:rsidR="00374955" w:rsidRPr="00374955" w:rsidRDefault="00374955" w:rsidP="00374955">
      <w:pPr>
        <w:pStyle w:val="MDPI31text"/>
        <w:ind w:left="0" w:firstLine="0"/>
        <w:rPr>
          <w:rFonts w:eastAsia="Palatino Linotype" w:cs="Palatino Linotype"/>
          <w:color w:val="auto"/>
          <w:szCs w:val="20"/>
        </w:rPr>
      </w:pPr>
    </w:p>
    <w:p w14:paraId="33FF3271" w14:textId="77777777" w:rsidR="00D1061A" w:rsidRDefault="00D1061A" w:rsidP="00CF1504">
      <w:pPr>
        <w:spacing w:line="240" w:lineRule="auto"/>
        <w:rPr>
          <w:rFonts w:cs="Arial"/>
          <w:b/>
          <w:color w:val="auto"/>
        </w:rPr>
      </w:pPr>
    </w:p>
    <w:p w14:paraId="67243A38" w14:textId="6A68CD0E" w:rsidR="00551AAB" w:rsidRDefault="00CF1504" w:rsidP="00444F0F">
      <w:pPr>
        <w:spacing w:line="240" w:lineRule="auto"/>
        <w:rPr>
          <w:rFonts w:cs="Arial"/>
          <w:b/>
          <w:color w:val="auto"/>
        </w:rPr>
      </w:pPr>
      <w:r w:rsidRPr="00B229B9">
        <w:rPr>
          <w:rFonts w:cs="Arial"/>
          <w:b/>
          <w:color w:val="auto"/>
        </w:rPr>
        <w:t xml:space="preserve">Supplementary </w:t>
      </w:r>
      <w:r>
        <w:rPr>
          <w:rFonts w:cs="Arial"/>
          <w:b/>
          <w:color w:val="auto"/>
        </w:rPr>
        <w:t>Results</w:t>
      </w:r>
    </w:p>
    <w:p w14:paraId="243FADE9" w14:textId="4658C010" w:rsidR="00551AAB" w:rsidRPr="00551AAB" w:rsidRDefault="00551AAB" w:rsidP="00444F0F">
      <w:pPr>
        <w:spacing w:line="240" w:lineRule="auto"/>
        <w:rPr>
          <w:rFonts w:cs="Arial"/>
          <w:b/>
          <w:bCs/>
          <w:color w:val="auto"/>
        </w:rPr>
      </w:pPr>
      <w:r w:rsidRPr="00551AAB">
        <w:rPr>
          <w:b/>
          <w:bCs/>
          <w:i/>
          <w:iCs/>
          <w:noProof/>
        </w:rPr>
        <w:t>Effect of medium composition on cell models</w:t>
      </w:r>
      <w:r w:rsidR="003C769E">
        <w:rPr>
          <w:b/>
          <w:bCs/>
          <w:i/>
          <w:iCs/>
          <w:noProof/>
        </w:rPr>
        <w:t xml:space="preserve"> </w:t>
      </w:r>
    </w:p>
    <w:p w14:paraId="74269B49" w14:textId="77777777" w:rsidR="009A2E3D" w:rsidRDefault="009A2E3D" w:rsidP="009A2E3D">
      <w:pPr>
        <w:pStyle w:val="MDPI31text"/>
        <w:ind w:left="2523" w:firstLine="0"/>
        <w:rPr>
          <w:b/>
          <w:bCs/>
          <w:sz w:val="18"/>
          <w:szCs w:val="18"/>
        </w:rPr>
      </w:pPr>
    </w:p>
    <w:tbl>
      <w:tblPr>
        <w:tblStyle w:val="MDPI41threelinetable"/>
        <w:tblW w:w="0" w:type="auto"/>
        <w:tblLayout w:type="fixed"/>
        <w:tblLook w:val="06A0" w:firstRow="1" w:lastRow="0" w:firstColumn="1" w:lastColumn="0" w:noHBand="1" w:noVBand="1"/>
      </w:tblPr>
      <w:tblGrid>
        <w:gridCol w:w="4380"/>
        <w:gridCol w:w="1725"/>
        <w:gridCol w:w="1825"/>
      </w:tblGrid>
      <w:tr w:rsidR="009A2E3D" w14:paraId="1A71AF4C" w14:textId="77777777" w:rsidTr="00BB2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tcW w:w="4380" w:type="dxa"/>
          </w:tcPr>
          <w:p w14:paraId="08203D67" w14:textId="77777777" w:rsidR="009A2E3D" w:rsidRDefault="009A2E3D" w:rsidP="00551AAB">
            <w:pPr>
              <w:spacing w:line="240" w:lineRule="exact"/>
              <w:jc w:val="center"/>
              <w:rPr>
                <w:rFonts w:eastAsia="Times New Roman"/>
                <w:color w:val="000000" w:themeColor="text1"/>
                <w:lang w:val="en-GB" w:eastAsia="de-DE" w:bidi="en-US"/>
              </w:rPr>
            </w:pPr>
          </w:p>
        </w:tc>
        <w:tc>
          <w:tcPr>
            <w:tcW w:w="3550" w:type="dxa"/>
            <w:gridSpan w:val="2"/>
          </w:tcPr>
          <w:p w14:paraId="57E051E3" w14:textId="77777777" w:rsidR="009A2E3D" w:rsidRPr="00C04E59" w:rsidRDefault="009A2E3D" w:rsidP="00551AAB">
            <w:pPr>
              <w:spacing w:line="240" w:lineRule="exact"/>
              <w:jc w:val="center"/>
              <w:rPr>
                <w:b w:val="0"/>
                <w:bCs/>
              </w:rPr>
            </w:pPr>
            <w:r w:rsidRPr="4A6F15FF">
              <w:rPr>
                <w:rFonts w:eastAsia="Times New Roman"/>
                <w:bCs/>
                <w:color w:val="000000" w:themeColor="text1"/>
                <w:lang w:val="en-GB" w:eastAsia="de-DE" w:bidi="en-US"/>
              </w:rPr>
              <w:t>Fe</w:t>
            </w:r>
          </w:p>
          <w:p w14:paraId="53B25784" w14:textId="77777777" w:rsidR="009A2E3D" w:rsidRPr="00C04E59" w:rsidRDefault="009A2E3D" w:rsidP="00551AAB">
            <w:pPr>
              <w:spacing w:line="240" w:lineRule="exact"/>
              <w:jc w:val="center"/>
              <w:rPr>
                <w:b w:val="0"/>
                <w:bCs/>
              </w:rPr>
            </w:pPr>
            <w:proofErr w:type="spellStart"/>
            <w:r w:rsidRPr="4A6F15FF">
              <w:rPr>
                <w:rFonts w:eastAsia="Times New Roman"/>
                <w:bCs/>
                <w:color w:val="000000" w:themeColor="text1"/>
                <w:lang w:eastAsia="de-DE" w:bidi="en-US"/>
              </w:rPr>
              <w:t>fg</w:t>
            </w:r>
            <w:proofErr w:type="spellEnd"/>
            <w:r w:rsidRPr="4A6F15FF">
              <w:rPr>
                <w:rFonts w:eastAsia="Times New Roman"/>
                <w:bCs/>
                <w:color w:val="000000" w:themeColor="text1"/>
                <w:lang w:eastAsia="de-DE" w:bidi="en-US"/>
              </w:rPr>
              <w:t>/cell</w:t>
            </w:r>
          </w:p>
          <w:p w14:paraId="7BD44BED" w14:textId="77777777" w:rsidR="009A2E3D" w:rsidRPr="00C04E59" w:rsidRDefault="009A2E3D" w:rsidP="00551AAB">
            <w:pPr>
              <w:spacing w:line="240" w:lineRule="exact"/>
              <w:jc w:val="center"/>
              <w:rPr>
                <w:b w:val="0"/>
                <w:bCs/>
              </w:rPr>
            </w:pPr>
            <w:r w:rsidRPr="4A6F15FF">
              <w:rPr>
                <w:rFonts w:eastAsia="Times New Roman"/>
                <w:bCs/>
                <w:color w:val="000000" w:themeColor="text1"/>
                <w:lang w:eastAsia="de-DE" w:bidi="en-US"/>
              </w:rPr>
              <w:t>(</w:t>
            </w:r>
            <w:proofErr w:type="spellStart"/>
            <w:r w:rsidRPr="4A6F15FF">
              <w:rPr>
                <w:rFonts w:eastAsia="Times New Roman"/>
                <w:bCs/>
                <w:color w:val="000000" w:themeColor="text1"/>
                <w:lang w:eastAsia="de-DE" w:bidi="en-US"/>
              </w:rPr>
              <w:t>mean±SD</w:t>
            </w:r>
            <w:proofErr w:type="spellEnd"/>
            <w:r w:rsidRPr="4A6F15FF">
              <w:rPr>
                <w:rFonts w:eastAsia="Times New Roman"/>
                <w:bCs/>
                <w:color w:val="000000" w:themeColor="text1"/>
                <w:lang w:eastAsia="de-DE" w:bidi="en-US"/>
              </w:rPr>
              <w:t>)</w:t>
            </w:r>
          </w:p>
        </w:tc>
      </w:tr>
      <w:tr w:rsidR="009A2E3D" w14:paraId="5B281C0A" w14:textId="77777777" w:rsidTr="00BB2FE8">
        <w:trPr>
          <w:trHeight w:val="390"/>
        </w:trPr>
        <w:tc>
          <w:tcPr>
            <w:tcW w:w="4380" w:type="dxa"/>
          </w:tcPr>
          <w:p w14:paraId="165EB52D" w14:textId="702256FD" w:rsidR="009A2E3D" w:rsidRPr="00C04E59" w:rsidRDefault="009A2E3D" w:rsidP="00551AAB">
            <w:pPr>
              <w:spacing w:line="240" w:lineRule="exact"/>
              <w:jc w:val="center"/>
            </w:pPr>
          </w:p>
        </w:tc>
        <w:tc>
          <w:tcPr>
            <w:tcW w:w="1725" w:type="dxa"/>
          </w:tcPr>
          <w:p w14:paraId="4A594C86" w14:textId="77777777" w:rsidR="009A2E3D" w:rsidRDefault="009A2E3D" w:rsidP="00551AAB">
            <w:pPr>
              <w:spacing w:line="240" w:lineRule="exact"/>
              <w:jc w:val="center"/>
              <w:rPr>
                <w:b/>
                <w:bCs/>
                <w:lang w:val="it-IT"/>
              </w:rPr>
            </w:pPr>
            <w:r w:rsidRPr="4A6F15FF">
              <w:rPr>
                <w:rFonts w:eastAsia="Times New Roman"/>
                <w:b/>
                <w:bCs/>
                <w:color w:val="000000" w:themeColor="text1"/>
                <w:lang w:val="en-GB" w:eastAsia="de-DE" w:bidi="en-US"/>
              </w:rPr>
              <w:t>HOG</w:t>
            </w:r>
          </w:p>
        </w:tc>
        <w:tc>
          <w:tcPr>
            <w:tcW w:w="1825" w:type="dxa"/>
          </w:tcPr>
          <w:p w14:paraId="5ED98DF7" w14:textId="77777777" w:rsidR="009A2E3D" w:rsidRDefault="009A2E3D" w:rsidP="00551AAB">
            <w:pPr>
              <w:spacing w:line="240" w:lineRule="exact"/>
              <w:jc w:val="center"/>
              <w:rPr>
                <w:b/>
                <w:bCs/>
              </w:rPr>
            </w:pPr>
            <w:r w:rsidRPr="4A6F15FF">
              <w:rPr>
                <w:rFonts w:eastAsia="Times New Roman"/>
                <w:b/>
                <w:bCs/>
                <w:color w:val="000000" w:themeColor="text1"/>
                <w:lang w:val="en-GB" w:eastAsia="de-DE" w:bidi="en-US"/>
              </w:rPr>
              <w:t xml:space="preserve">HOG 100 </w:t>
            </w:r>
            <w:r w:rsidRPr="4A6F15FF">
              <w:rPr>
                <w:b/>
                <w:bCs/>
              </w:rPr>
              <w:t>µM</w:t>
            </w:r>
          </w:p>
        </w:tc>
      </w:tr>
      <w:tr w:rsidR="009A2E3D" w14:paraId="5C40E3D4" w14:textId="77777777" w:rsidTr="00BB2FE8">
        <w:trPr>
          <w:trHeight w:val="390"/>
        </w:trPr>
        <w:tc>
          <w:tcPr>
            <w:tcW w:w="4380" w:type="dxa"/>
          </w:tcPr>
          <w:p w14:paraId="2CC88746" w14:textId="77777777" w:rsidR="009A2E3D" w:rsidRPr="00C04E59" w:rsidRDefault="009A2E3D" w:rsidP="00551AAB">
            <w:pPr>
              <w:spacing w:line="240" w:lineRule="exact"/>
              <w:jc w:val="center"/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LG-DMEM-1%FBS-0 µM ferric citrate</w:t>
            </w:r>
          </w:p>
        </w:tc>
        <w:tc>
          <w:tcPr>
            <w:tcW w:w="1725" w:type="dxa"/>
          </w:tcPr>
          <w:p w14:paraId="23FA4187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31.72±7.59</w:t>
            </w:r>
          </w:p>
        </w:tc>
        <w:tc>
          <w:tcPr>
            <w:tcW w:w="1825" w:type="dxa"/>
          </w:tcPr>
          <w:p w14:paraId="52B09B41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1776.91±576.17</w:t>
            </w:r>
          </w:p>
        </w:tc>
      </w:tr>
      <w:tr w:rsidR="009A2E3D" w14:paraId="0E8BAD7D" w14:textId="77777777" w:rsidTr="00BB2FE8">
        <w:trPr>
          <w:trHeight w:val="285"/>
        </w:trPr>
        <w:tc>
          <w:tcPr>
            <w:tcW w:w="4380" w:type="dxa"/>
          </w:tcPr>
          <w:p w14:paraId="40712657" w14:textId="77777777" w:rsidR="009A2E3D" w:rsidRPr="00C04E59" w:rsidRDefault="009A2E3D" w:rsidP="00551AAB">
            <w:pPr>
              <w:spacing w:line="240" w:lineRule="exact"/>
              <w:jc w:val="center"/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LG-DMEM-1%FBS-25 µM ferric citrate</w:t>
            </w:r>
          </w:p>
        </w:tc>
        <w:tc>
          <w:tcPr>
            <w:tcW w:w="1725" w:type="dxa"/>
          </w:tcPr>
          <w:p w14:paraId="4FD8A7C7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122.51±29.86</w:t>
            </w:r>
          </w:p>
        </w:tc>
        <w:tc>
          <w:tcPr>
            <w:tcW w:w="1825" w:type="dxa"/>
          </w:tcPr>
          <w:p w14:paraId="45A964C5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1816.93±386.79</w:t>
            </w:r>
          </w:p>
        </w:tc>
      </w:tr>
      <w:tr w:rsidR="009A2E3D" w14:paraId="0AEE2875" w14:textId="77777777" w:rsidTr="00BB2FE8">
        <w:trPr>
          <w:trHeight w:val="390"/>
        </w:trPr>
        <w:tc>
          <w:tcPr>
            <w:tcW w:w="4380" w:type="dxa"/>
          </w:tcPr>
          <w:p w14:paraId="1F8B58AC" w14:textId="77777777" w:rsidR="009A2E3D" w:rsidRPr="00C04E59" w:rsidRDefault="009A2E3D" w:rsidP="00551AAB">
            <w:pPr>
              <w:spacing w:line="240" w:lineRule="exact"/>
              <w:jc w:val="center"/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LG-DMEM-1%FBS-100 µM ferric citrate</w:t>
            </w:r>
          </w:p>
        </w:tc>
        <w:tc>
          <w:tcPr>
            <w:tcW w:w="1725" w:type="dxa"/>
          </w:tcPr>
          <w:p w14:paraId="3FD5842B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597.6±83.8</w:t>
            </w:r>
          </w:p>
        </w:tc>
        <w:tc>
          <w:tcPr>
            <w:tcW w:w="1825" w:type="dxa"/>
          </w:tcPr>
          <w:p w14:paraId="7D3C3C9C" w14:textId="77777777" w:rsidR="009A2E3D" w:rsidRDefault="009A2E3D" w:rsidP="00551AAB">
            <w:pPr>
              <w:spacing w:line="240" w:lineRule="exact"/>
              <w:jc w:val="center"/>
              <w:rPr>
                <w:lang w:val="it-IT"/>
              </w:rPr>
            </w:pPr>
            <w:r w:rsidRPr="4A6F15FF">
              <w:rPr>
                <w:rFonts w:eastAsia="Times New Roman"/>
                <w:color w:val="000000" w:themeColor="text1"/>
                <w:lang w:val="en-GB" w:eastAsia="de-DE" w:bidi="en-US"/>
              </w:rPr>
              <w:t>2439.8±722.3</w:t>
            </w:r>
          </w:p>
        </w:tc>
      </w:tr>
    </w:tbl>
    <w:p w14:paraId="32DCC133" w14:textId="77777777" w:rsidR="009A2E3D" w:rsidRPr="00E90651" w:rsidRDefault="009A2E3D" w:rsidP="00551AAB">
      <w:pPr>
        <w:pStyle w:val="MDPI21heading1"/>
        <w:ind w:left="0"/>
        <w:rPr>
          <w:sz w:val="18"/>
          <w:szCs w:val="18"/>
        </w:rPr>
      </w:pPr>
      <w:r w:rsidRPr="00027430">
        <w:rPr>
          <w:sz w:val="18"/>
          <w:szCs w:val="18"/>
        </w:rPr>
        <w:t>Table S1. Effects</w:t>
      </w:r>
      <w:r w:rsidRPr="73FFABC9">
        <w:rPr>
          <w:sz w:val="18"/>
          <w:szCs w:val="18"/>
        </w:rPr>
        <w:t xml:space="preserve"> of 24-hour incubation of medium with different iron concentrations on the intracellular iron content of HOG cells.</w:t>
      </w:r>
    </w:p>
    <w:p w14:paraId="2BB1A10C" w14:textId="77777777" w:rsidR="007B2F85" w:rsidRDefault="007B2F85" w:rsidP="00444F0F">
      <w:pPr>
        <w:spacing w:line="240" w:lineRule="auto"/>
        <w:rPr>
          <w:rFonts w:cs="Arial"/>
          <w:color w:val="auto"/>
        </w:rPr>
      </w:pPr>
    </w:p>
    <w:p w14:paraId="2C68E9AE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383DC0CA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27D4B687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493ED7BC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0C0507E8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44C71428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00B0B6DC" w14:textId="77777777" w:rsidR="003C769E" w:rsidRDefault="003C769E" w:rsidP="00444F0F">
      <w:pPr>
        <w:spacing w:line="240" w:lineRule="auto"/>
        <w:rPr>
          <w:rFonts w:cs="Arial"/>
          <w:color w:val="auto"/>
        </w:rPr>
      </w:pPr>
    </w:p>
    <w:p w14:paraId="73E33E75" w14:textId="0855C1B5" w:rsidR="003C769E" w:rsidRDefault="003C769E" w:rsidP="00444F0F">
      <w:pPr>
        <w:spacing w:line="240" w:lineRule="auto"/>
        <w:rPr>
          <w:rFonts w:cs="Arial"/>
          <w:color w:val="auto"/>
        </w:rPr>
      </w:pPr>
      <w:r w:rsidRPr="003C769E">
        <w:rPr>
          <w:b/>
          <w:bCs/>
          <w:i/>
          <w:iCs/>
          <w:noProof/>
        </w:rPr>
        <w:lastRenderedPageBreak/>
        <w:t>Confocal microscopy confirms the iron uptake</w:t>
      </w:r>
    </w:p>
    <w:p w14:paraId="4B71EFED" w14:textId="17A3999C" w:rsidR="00546C34" w:rsidRPr="00546C34" w:rsidRDefault="00546C34" w:rsidP="00546C34">
      <w:pPr>
        <w:pStyle w:val="MDPI51figurecaption"/>
      </w:pPr>
      <w:r>
        <w:rPr>
          <w:color w:val="auto"/>
        </w:rPr>
        <w:t xml:space="preserve"> </w:t>
      </w:r>
      <w:r w:rsidR="005E54DD">
        <w:rPr>
          <w:noProof/>
        </w:rPr>
        <w:drawing>
          <wp:inline distT="0" distB="0" distL="0" distR="0" wp14:anchorId="7A48ABD8" wp14:editId="045D5B96">
            <wp:extent cx="3027871" cy="3019245"/>
            <wp:effectExtent l="0" t="0" r="0" b="3810"/>
            <wp:docPr id="6418561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56179" name="Immagine 64185617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t="17273" r="28997" b="18410"/>
                    <a:stretch/>
                  </pic:blipFill>
                  <pic:spPr bwMode="auto">
                    <a:xfrm>
                      <a:off x="0" y="0"/>
                      <a:ext cx="3028010" cy="30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6AC13" w14:textId="3D22E8ED" w:rsidR="00546C34" w:rsidRPr="00546C34" w:rsidRDefault="00546C34" w:rsidP="001D4628">
      <w:pPr>
        <w:pStyle w:val="MDPI21heading1"/>
        <w:ind w:left="0"/>
        <w:jc w:val="both"/>
        <w:rPr>
          <w:b w:val="0"/>
          <w:bCs/>
          <w:sz w:val="18"/>
          <w:szCs w:val="18"/>
        </w:rPr>
      </w:pPr>
      <w:r w:rsidRPr="00027430">
        <w:rPr>
          <w:sz w:val="18"/>
          <w:szCs w:val="18"/>
        </w:rPr>
        <w:t xml:space="preserve">Figure S1. </w:t>
      </w:r>
      <w:r w:rsidRPr="00027430">
        <w:rPr>
          <w:bCs/>
        </w:rPr>
        <w:t xml:space="preserve">Confocal images of HOG100 cells in </w:t>
      </w:r>
      <w:r w:rsidRPr="00027430">
        <w:rPr>
          <w:rFonts w:eastAsia="Palatino Linotype" w:cs="Palatino Linotype"/>
          <w:bCs/>
        </w:rPr>
        <w:t>10 µM of ferric citrate</w:t>
      </w:r>
      <w:r w:rsidRPr="00027430">
        <w:rPr>
          <w:bCs/>
        </w:rPr>
        <w:t>.</w:t>
      </w:r>
      <w:r w:rsidRPr="00027430">
        <w:t xml:space="preserve"> </w:t>
      </w:r>
      <w:r w:rsidRPr="00027430">
        <w:rPr>
          <w:b w:val="0"/>
          <w:bCs/>
        </w:rPr>
        <w:t xml:space="preserve">Cells were cultured in a standard culture medium in the presence or absence of ferric citrate 10 µM for 24 hours. Thereafter, cells were </w:t>
      </w:r>
      <w:r w:rsidRPr="00027430">
        <w:rPr>
          <w:b w:val="0"/>
          <w:bCs/>
          <w:color w:val="auto"/>
        </w:rPr>
        <w:t>incubated for one hour in a complete medium supplemented or not with 10 µM of ferric citrate in the</w:t>
      </w:r>
      <w:r w:rsidRPr="00546C34">
        <w:rPr>
          <w:b w:val="0"/>
          <w:bCs/>
          <w:color w:val="auto"/>
        </w:rPr>
        <w:t xml:space="preserve"> presence of 5 µM Rhonox-1 (red). For nuclei counterstaining, 5 µg/mL of Hoechst 33-258 (blue) was added to all the tested conditions during the last 20 </w:t>
      </w:r>
      <w:proofErr w:type="spellStart"/>
      <w:r w:rsidRPr="00546C34">
        <w:rPr>
          <w:b w:val="0"/>
          <w:bCs/>
          <w:color w:val="auto"/>
        </w:rPr>
        <w:t>min</w:t>
      </w:r>
      <w:r w:rsidR="003A2C0B">
        <w:rPr>
          <w:b w:val="0"/>
          <w:bCs/>
          <w:color w:val="auto"/>
        </w:rPr>
        <w:t>uts</w:t>
      </w:r>
      <w:proofErr w:type="spellEnd"/>
      <w:r w:rsidRPr="00546C34">
        <w:rPr>
          <w:b w:val="0"/>
          <w:bCs/>
          <w:color w:val="auto"/>
        </w:rPr>
        <w:t xml:space="preserve"> of incubation. </w:t>
      </w:r>
      <w:r w:rsidR="00FD768F" w:rsidRPr="00FD768F">
        <w:rPr>
          <w:b w:val="0"/>
          <w:bCs/>
          <w:color w:val="auto"/>
        </w:rPr>
        <w:t>Rhonox-1 signal, linked to Fe2+, is mainly compartmentalized</w:t>
      </w:r>
      <w:r w:rsidR="00FD768F">
        <w:rPr>
          <w:b w:val="0"/>
          <w:bCs/>
          <w:color w:val="auto"/>
        </w:rPr>
        <w:t>.</w:t>
      </w:r>
      <w:r w:rsidR="00FD768F" w:rsidRPr="00FD768F">
        <w:rPr>
          <w:b w:val="0"/>
          <w:bCs/>
          <w:color w:val="auto"/>
        </w:rPr>
        <w:t xml:space="preserve"> </w:t>
      </w:r>
      <w:r w:rsidRPr="00546C34">
        <w:rPr>
          <w:b w:val="0"/>
          <w:bCs/>
          <w:color w:val="auto"/>
        </w:rPr>
        <w:t xml:space="preserve">Images were collected with an Olympus </w:t>
      </w:r>
      <w:proofErr w:type="spellStart"/>
      <w:r w:rsidRPr="00546C34">
        <w:rPr>
          <w:b w:val="0"/>
          <w:bCs/>
          <w:color w:val="auto"/>
        </w:rPr>
        <w:t>fluoVIEW</w:t>
      </w:r>
      <w:proofErr w:type="spellEnd"/>
      <w:r w:rsidRPr="00546C34">
        <w:rPr>
          <w:b w:val="0"/>
          <w:bCs/>
          <w:color w:val="auto"/>
        </w:rPr>
        <w:t xml:space="preserve"> FV3000RS Confocal microscope.</w:t>
      </w:r>
    </w:p>
    <w:p w14:paraId="6F4F0900" w14:textId="64FA8FB1" w:rsidR="00546C34" w:rsidRPr="00444F0F" w:rsidRDefault="00546C34" w:rsidP="00546C34">
      <w:pPr>
        <w:spacing w:line="240" w:lineRule="auto"/>
        <w:rPr>
          <w:rFonts w:cs="Arial"/>
          <w:color w:val="auto"/>
        </w:rPr>
      </w:pPr>
    </w:p>
    <w:sectPr w:rsidR="00546C34" w:rsidRPr="00444F0F" w:rsidSect="009B551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0B4AF" w14:textId="77777777" w:rsidR="00817D08" w:rsidRDefault="00817D08">
      <w:pPr>
        <w:spacing w:line="240" w:lineRule="auto"/>
      </w:pPr>
      <w:r>
        <w:separator/>
      </w:r>
    </w:p>
  </w:endnote>
  <w:endnote w:type="continuationSeparator" w:id="0">
    <w:p w14:paraId="48F22B3E" w14:textId="77777777" w:rsidR="00817D08" w:rsidRDefault="00817D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9682" w14:textId="77777777" w:rsidR="0004400E" w:rsidRPr="00A71A3D" w:rsidRDefault="0004400E" w:rsidP="0004400E">
    <w:pPr>
      <w:pStyle w:val="Pidipagina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0C6A3" w14:textId="77777777" w:rsidR="00471F5A" w:rsidRDefault="00471F5A" w:rsidP="00A24869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lang w:val="fr-CH"/>
      </w:rPr>
    </w:pPr>
  </w:p>
  <w:p w14:paraId="21613E0C" w14:textId="77777777" w:rsidR="0004400E" w:rsidRPr="008B308E" w:rsidRDefault="0004400E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 xml:space="preserve">Int. J. Mol. </w:t>
    </w:r>
    <w:proofErr w:type="spellStart"/>
    <w:r w:rsidRPr="00B04A30">
      <w:rPr>
        <w:i/>
        <w:iCs/>
        <w:lang w:val="fr-CH"/>
      </w:rPr>
      <w:t>Sci</w:t>
    </w:r>
    <w:proofErr w:type="spellEnd"/>
    <w:r w:rsidRPr="00B04A30">
      <w:rPr>
        <w:i/>
        <w:iCs/>
        <w:lang w:val="fr-CH"/>
      </w:rPr>
      <w:t>.</w:t>
    </w:r>
    <w:r w:rsidRPr="00176A50">
      <w:rPr>
        <w:i/>
        <w:lang w:val="fr-CH"/>
      </w:rPr>
      <w:t xml:space="preserve"> </w:t>
    </w:r>
    <w:r w:rsidR="00911F22" w:rsidRPr="00911F22">
      <w:rPr>
        <w:b/>
        <w:iCs/>
        <w:lang w:val="fr-CH"/>
      </w:rPr>
      <w:t>2021</w:t>
    </w:r>
    <w:r w:rsidR="00506BC0" w:rsidRPr="00506BC0">
      <w:rPr>
        <w:iCs/>
        <w:lang w:val="fr-CH"/>
      </w:rPr>
      <w:t xml:space="preserve">, </w:t>
    </w:r>
    <w:r w:rsidR="00911F22" w:rsidRPr="00911F22">
      <w:rPr>
        <w:i/>
        <w:iCs/>
        <w:lang w:val="fr-CH"/>
      </w:rPr>
      <w:t>22</w:t>
    </w:r>
    <w:r w:rsidR="00506BC0" w:rsidRPr="00506BC0">
      <w:rPr>
        <w:iCs/>
        <w:lang w:val="fr-CH"/>
      </w:rPr>
      <w:t xml:space="preserve">, </w:t>
    </w:r>
    <w:r w:rsidR="000B74CE">
      <w:rPr>
        <w:iCs/>
        <w:lang w:val="fr-CH"/>
      </w:rPr>
      <w:t>x</w:t>
    </w:r>
    <w:r w:rsidR="00471F5A">
      <w:rPr>
        <w:iCs/>
        <w:lang w:val="fr-CH"/>
      </w:rPr>
      <w:t>. https://doi.org/10.3390/xxxxx</w:t>
    </w:r>
    <w:r w:rsidR="004340C2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C6CE0" w14:textId="77777777" w:rsidR="00817D08" w:rsidRDefault="00817D08">
      <w:pPr>
        <w:spacing w:line="240" w:lineRule="auto"/>
      </w:pPr>
      <w:r>
        <w:separator/>
      </w:r>
    </w:p>
  </w:footnote>
  <w:footnote w:type="continuationSeparator" w:id="0">
    <w:p w14:paraId="78217144" w14:textId="77777777" w:rsidR="00817D08" w:rsidRDefault="00817D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B3CE1" w14:textId="77777777" w:rsidR="0004400E" w:rsidRDefault="0004400E" w:rsidP="0004400E">
    <w:pPr>
      <w:pStyle w:val="Intestazion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223B5" w14:textId="77777777" w:rsidR="00471F5A" w:rsidRDefault="0004400E" w:rsidP="004340C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 w:rsidR="009B54F4" w:rsidRPr="009B54F4">
      <w:rPr>
        <w:b/>
        <w:sz w:val="16"/>
      </w:rPr>
      <w:t>2021</w:t>
    </w:r>
    <w:r w:rsidR="00506BC0" w:rsidRPr="00506BC0">
      <w:rPr>
        <w:sz w:val="16"/>
      </w:rPr>
      <w:t xml:space="preserve">, </w:t>
    </w:r>
    <w:r w:rsidR="009B54F4" w:rsidRPr="009B54F4">
      <w:rPr>
        <w:i/>
        <w:sz w:val="16"/>
      </w:rPr>
      <w:t>22</w:t>
    </w:r>
    <w:r w:rsidR="000B74CE">
      <w:rPr>
        <w:sz w:val="16"/>
      </w:rPr>
      <w:t>, x FOR PEER REVIEW</w:t>
    </w:r>
    <w:r w:rsidR="004340C2">
      <w:rPr>
        <w:sz w:val="16"/>
      </w:rPr>
      <w:tab/>
    </w:r>
    <w:r w:rsidR="000B74CE">
      <w:rPr>
        <w:sz w:val="16"/>
      </w:rPr>
      <w:fldChar w:fldCharType="begin"/>
    </w:r>
    <w:r w:rsidR="000B74CE">
      <w:rPr>
        <w:sz w:val="16"/>
      </w:rPr>
      <w:instrText xml:space="preserve"> PAGE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  <w:r w:rsidR="000B74CE">
      <w:rPr>
        <w:sz w:val="16"/>
      </w:rPr>
      <w:t xml:space="preserve"> of </w:t>
    </w:r>
    <w:r w:rsidR="000B74CE">
      <w:rPr>
        <w:sz w:val="16"/>
      </w:rPr>
      <w:fldChar w:fldCharType="begin"/>
    </w:r>
    <w:r w:rsidR="000B74CE">
      <w:rPr>
        <w:sz w:val="16"/>
      </w:rPr>
      <w:instrText xml:space="preserve"> NUMPAGES   \* MERGEFORMAT </w:instrText>
    </w:r>
    <w:r w:rsidR="000B74CE">
      <w:rPr>
        <w:sz w:val="16"/>
      </w:rPr>
      <w:fldChar w:fldCharType="separate"/>
    </w:r>
    <w:r w:rsidR="00A1712D">
      <w:rPr>
        <w:sz w:val="16"/>
      </w:rPr>
      <w:t>5</w:t>
    </w:r>
    <w:r w:rsidR="000B74CE">
      <w:rPr>
        <w:sz w:val="16"/>
      </w:rPr>
      <w:fldChar w:fldCharType="end"/>
    </w:r>
  </w:p>
  <w:p w14:paraId="2050C32D" w14:textId="77777777" w:rsidR="0004400E" w:rsidRPr="003257E1" w:rsidRDefault="0004400E" w:rsidP="00A2486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F62E57" w:rsidRPr="00154913" w14:paraId="7A208A1A" w14:textId="77777777" w:rsidTr="00EE2386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5F178995" w14:textId="3DDB452E" w:rsidR="00F62E57" w:rsidRPr="00910C8D" w:rsidRDefault="00B229B9" w:rsidP="00F62E57">
          <w:pPr>
            <w:pStyle w:val="Intestazion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C67E98">
            <w:rPr>
              <w:rFonts w:eastAsia="DengXian"/>
              <w:b/>
              <w:bCs/>
              <w:noProof/>
              <w:lang w:val="it-IT" w:eastAsia="it-IT"/>
            </w:rPr>
            <w:drawing>
              <wp:inline distT="0" distB="0" distL="0" distR="0" wp14:anchorId="1FF9DDA4" wp14:editId="4FB88D95">
                <wp:extent cx="2043430" cy="429260"/>
                <wp:effectExtent l="0" t="0" r="0" b="0"/>
                <wp:docPr id="1" name="Immagine 1" descr="C:\Users\home\AppData\Local\Temp\HZ$D.661.3526\biomedicine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ome\AppData\Local\Temp\HZ$D.661.3526\biomedicine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343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2506088D" w14:textId="77777777" w:rsidR="00F62E57" w:rsidRPr="00910C8D" w:rsidRDefault="00F62E57" w:rsidP="00F62E57">
          <w:pPr>
            <w:pStyle w:val="Intestazion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7382C084" w14:textId="77777777" w:rsidR="00F62E57" w:rsidRPr="00910C8D" w:rsidRDefault="00F62E57" w:rsidP="00F62E57">
          <w:pPr>
            <w:pStyle w:val="Intestazion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910C8D">
            <w:rPr>
              <w:rFonts w:eastAsia="DengXian"/>
              <w:b/>
              <w:bCs/>
              <w:noProof/>
              <w:lang w:val="it-IT" w:eastAsia="it-IT"/>
            </w:rPr>
            <w:drawing>
              <wp:inline distT="0" distB="0" distL="0" distR="0" wp14:anchorId="0030936B" wp14:editId="6294290A">
                <wp:extent cx="540385" cy="353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38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36072E" w14:textId="77777777" w:rsidR="0004400E" w:rsidRPr="00471F5A" w:rsidRDefault="0004400E" w:rsidP="00A2486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199463801">
    <w:abstractNumId w:val="4"/>
  </w:num>
  <w:num w:numId="2" w16cid:durableId="1817182212">
    <w:abstractNumId w:val="6"/>
  </w:num>
  <w:num w:numId="3" w16cid:durableId="916404372">
    <w:abstractNumId w:val="3"/>
  </w:num>
  <w:num w:numId="4" w16cid:durableId="1567736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17241471">
    <w:abstractNumId w:val="5"/>
  </w:num>
  <w:num w:numId="6" w16cid:durableId="1227229576">
    <w:abstractNumId w:val="8"/>
  </w:num>
  <w:num w:numId="7" w16cid:durableId="2029678105">
    <w:abstractNumId w:val="2"/>
  </w:num>
  <w:num w:numId="8" w16cid:durableId="1353724439">
    <w:abstractNumId w:val="8"/>
  </w:num>
  <w:num w:numId="9" w16cid:durableId="1196697996">
    <w:abstractNumId w:val="2"/>
  </w:num>
  <w:num w:numId="10" w16cid:durableId="1828981879">
    <w:abstractNumId w:val="8"/>
  </w:num>
  <w:num w:numId="11" w16cid:durableId="1345546144">
    <w:abstractNumId w:val="2"/>
  </w:num>
  <w:num w:numId="12" w16cid:durableId="1079205657">
    <w:abstractNumId w:val="9"/>
  </w:num>
  <w:num w:numId="13" w16cid:durableId="176505877">
    <w:abstractNumId w:val="8"/>
  </w:num>
  <w:num w:numId="14" w16cid:durableId="1593974856">
    <w:abstractNumId w:val="2"/>
  </w:num>
  <w:num w:numId="15" w16cid:durableId="8753894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33655128">
    <w:abstractNumId w:val="2"/>
  </w:num>
  <w:num w:numId="17" w16cid:durableId="16013278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16705898">
    <w:abstractNumId w:val="1"/>
  </w:num>
  <w:num w:numId="19" w16cid:durableId="273096576">
    <w:abstractNumId w:val="7"/>
  </w:num>
  <w:num w:numId="20" w16cid:durableId="616060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283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F0F"/>
    <w:rsid w:val="000265C7"/>
    <w:rsid w:val="00027430"/>
    <w:rsid w:val="00035FC3"/>
    <w:rsid w:val="0004039C"/>
    <w:rsid w:val="00042AF8"/>
    <w:rsid w:val="0004400E"/>
    <w:rsid w:val="00044C0A"/>
    <w:rsid w:val="0004721A"/>
    <w:rsid w:val="00053EBF"/>
    <w:rsid w:val="0005453A"/>
    <w:rsid w:val="0009213F"/>
    <w:rsid w:val="00092631"/>
    <w:rsid w:val="000A00EA"/>
    <w:rsid w:val="000A0F93"/>
    <w:rsid w:val="000B1F19"/>
    <w:rsid w:val="000B74CE"/>
    <w:rsid w:val="000C0B2B"/>
    <w:rsid w:val="000C151B"/>
    <w:rsid w:val="000C2465"/>
    <w:rsid w:val="000C504E"/>
    <w:rsid w:val="000D1C00"/>
    <w:rsid w:val="00123A57"/>
    <w:rsid w:val="0014354D"/>
    <w:rsid w:val="00144467"/>
    <w:rsid w:val="0015059B"/>
    <w:rsid w:val="0016006D"/>
    <w:rsid w:val="001A1E76"/>
    <w:rsid w:val="001D349C"/>
    <w:rsid w:val="001D4628"/>
    <w:rsid w:val="001D4D23"/>
    <w:rsid w:val="001E2AEB"/>
    <w:rsid w:val="001E4A07"/>
    <w:rsid w:val="0020081E"/>
    <w:rsid w:val="0021217E"/>
    <w:rsid w:val="002223FC"/>
    <w:rsid w:val="00240486"/>
    <w:rsid w:val="00286BC9"/>
    <w:rsid w:val="002D1D38"/>
    <w:rsid w:val="002F6ADB"/>
    <w:rsid w:val="003040E0"/>
    <w:rsid w:val="0031075B"/>
    <w:rsid w:val="00324292"/>
    <w:rsid w:val="00326141"/>
    <w:rsid w:val="0033750C"/>
    <w:rsid w:val="00370EC8"/>
    <w:rsid w:val="00374955"/>
    <w:rsid w:val="0037766B"/>
    <w:rsid w:val="00377F4F"/>
    <w:rsid w:val="00393EB6"/>
    <w:rsid w:val="00395A6A"/>
    <w:rsid w:val="003A15E9"/>
    <w:rsid w:val="003A2C0B"/>
    <w:rsid w:val="003A791E"/>
    <w:rsid w:val="003B0855"/>
    <w:rsid w:val="003B3804"/>
    <w:rsid w:val="003B7C96"/>
    <w:rsid w:val="003C0E6B"/>
    <w:rsid w:val="003C769E"/>
    <w:rsid w:val="003D3232"/>
    <w:rsid w:val="003E012D"/>
    <w:rsid w:val="003F0E95"/>
    <w:rsid w:val="003F1497"/>
    <w:rsid w:val="003F23A1"/>
    <w:rsid w:val="00401D30"/>
    <w:rsid w:val="0041581F"/>
    <w:rsid w:val="004340C2"/>
    <w:rsid w:val="00443AAF"/>
    <w:rsid w:val="00444F0F"/>
    <w:rsid w:val="004504C9"/>
    <w:rsid w:val="00455757"/>
    <w:rsid w:val="00460E08"/>
    <w:rsid w:val="004669B4"/>
    <w:rsid w:val="0046725B"/>
    <w:rsid w:val="00471F5A"/>
    <w:rsid w:val="00475043"/>
    <w:rsid w:val="00483B14"/>
    <w:rsid w:val="004A046F"/>
    <w:rsid w:val="004D077A"/>
    <w:rsid w:val="004D3B65"/>
    <w:rsid w:val="00501D0F"/>
    <w:rsid w:val="00506BC0"/>
    <w:rsid w:val="0053256F"/>
    <w:rsid w:val="00546C34"/>
    <w:rsid w:val="00551AAB"/>
    <w:rsid w:val="00557B4B"/>
    <w:rsid w:val="00562123"/>
    <w:rsid w:val="005664C6"/>
    <w:rsid w:val="005723F4"/>
    <w:rsid w:val="005B2840"/>
    <w:rsid w:val="005B6005"/>
    <w:rsid w:val="005C43EE"/>
    <w:rsid w:val="005C5DE8"/>
    <w:rsid w:val="005E54DD"/>
    <w:rsid w:val="005E65A5"/>
    <w:rsid w:val="005E71D0"/>
    <w:rsid w:val="00605718"/>
    <w:rsid w:val="00606DEF"/>
    <w:rsid w:val="006103ED"/>
    <w:rsid w:val="006205C4"/>
    <w:rsid w:val="00645D18"/>
    <w:rsid w:val="00646BFC"/>
    <w:rsid w:val="006560A3"/>
    <w:rsid w:val="00666C02"/>
    <w:rsid w:val="0068381A"/>
    <w:rsid w:val="00685CA0"/>
    <w:rsid w:val="00686D0C"/>
    <w:rsid w:val="00687468"/>
    <w:rsid w:val="00691777"/>
    <w:rsid w:val="00692393"/>
    <w:rsid w:val="00696E99"/>
    <w:rsid w:val="006C6DB8"/>
    <w:rsid w:val="006D7D99"/>
    <w:rsid w:val="0071323C"/>
    <w:rsid w:val="00722347"/>
    <w:rsid w:val="00752D19"/>
    <w:rsid w:val="00762525"/>
    <w:rsid w:val="007648D8"/>
    <w:rsid w:val="00770096"/>
    <w:rsid w:val="00792DC7"/>
    <w:rsid w:val="00797AB1"/>
    <w:rsid w:val="007B2F85"/>
    <w:rsid w:val="007C021F"/>
    <w:rsid w:val="007C4B11"/>
    <w:rsid w:val="007D0ABE"/>
    <w:rsid w:val="007D2886"/>
    <w:rsid w:val="00804595"/>
    <w:rsid w:val="008145DC"/>
    <w:rsid w:val="00817D08"/>
    <w:rsid w:val="00822F68"/>
    <w:rsid w:val="0082500C"/>
    <w:rsid w:val="00843AAF"/>
    <w:rsid w:val="008474ED"/>
    <w:rsid w:val="00862B31"/>
    <w:rsid w:val="008A11C3"/>
    <w:rsid w:val="008A3D4D"/>
    <w:rsid w:val="008B6A2E"/>
    <w:rsid w:val="008C1897"/>
    <w:rsid w:val="008D69AF"/>
    <w:rsid w:val="008F2594"/>
    <w:rsid w:val="008F7730"/>
    <w:rsid w:val="00911F22"/>
    <w:rsid w:val="0092449A"/>
    <w:rsid w:val="00993114"/>
    <w:rsid w:val="009A2E3D"/>
    <w:rsid w:val="009A7262"/>
    <w:rsid w:val="009B54F4"/>
    <w:rsid w:val="009B551E"/>
    <w:rsid w:val="009F5C65"/>
    <w:rsid w:val="009F70E6"/>
    <w:rsid w:val="00A15FF4"/>
    <w:rsid w:val="00A1712D"/>
    <w:rsid w:val="00A24869"/>
    <w:rsid w:val="00A563F4"/>
    <w:rsid w:val="00A56FF8"/>
    <w:rsid w:val="00A62565"/>
    <w:rsid w:val="00A65FB0"/>
    <w:rsid w:val="00A8104C"/>
    <w:rsid w:val="00A852BC"/>
    <w:rsid w:val="00A904DA"/>
    <w:rsid w:val="00AA1BD0"/>
    <w:rsid w:val="00AA6C7C"/>
    <w:rsid w:val="00AB5AEE"/>
    <w:rsid w:val="00AC0491"/>
    <w:rsid w:val="00AC4D90"/>
    <w:rsid w:val="00AD4C85"/>
    <w:rsid w:val="00AD7138"/>
    <w:rsid w:val="00AE42AC"/>
    <w:rsid w:val="00AE5680"/>
    <w:rsid w:val="00AF78DE"/>
    <w:rsid w:val="00B05206"/>
    <w:rsid w:val="00B229B9"/>
    <w:rsid w:val="00B22E26"/>
    <w:rsid w:val="00B377C4"/>
    <w:rsid w:val="00B46F24"/>
    <w:rsid w:val="00B60928"/>
    <w:rsid w:val="00B622F2"/>
    <w:rsid w:val="00B72696"/>
    <w:rsid w:val="00B93109"/>
    <w:rsid w:val="00BB083D"/>
    <w:rsid w:val="00BC74C5"/>
    <w:rsid w:val="00BD5253"/>
    <w:rsid w:val="00BE2474"/>
    <w:rsid w:val="00C1236D"/>
    <w:rsid w:val="00C16DD7"/>
    <w:rsid w:val="00C17BF0"/>
    <w:rsid w:val="00C81392"/>
    <w:rsid w:val="00C8189E"/>
    <w:rsid w:val="00C86F5B"/>
    <w:rsid w:val="00CC687E"/>
    <w:rsid w:val="00CC7AAB"/>
    <w:rsid w:val="00CC7D9A"/>
    <w:rsid w:val="00CD54D3"/>
    <w:rsid w:val="00CE4479"/>
    <w:rsid w:val="00CF1504"/>
    <w:rsid w:val="00CF2856"/>
    <w:rsid w:val="00D1061A"/>
    <w:rsid w:val="00D15FD7"/>
    <w:rsid w:val="00DA6AE2"/>
    <w:rsid w:val="00DB486D"/>
    <w:rsid w:val="00DD67A3"/>
    <w:rsid w:val="00DE06F5"/>
    <w:rsid w:val="00DE07DE"/>
    <w:rsid w:val="00DE228F"/>
    <w:rsid w:val="00DE67B3"/>
    <w:rsid w:val="00E00518"/>
    <w:rsid w:val="00E03F44"/>
    <w:rsid w:val="00E17581"/>
    <w:rsid w:val="00E20009"/>
    <w:rsid w:val="00E26A84"/>
    <w:rsid w:val="00E32336"/>
    <w:rsid w:val="00E3734B"/>
    <w:rsid w:val="00E53385"/>
    <w:rsid w:val="00E81963"/>
    <w:rsid w:val="00E82DCF"/>
    <w:rsid w:val="00E8311E"/>
    <w:rsid w:val="00E87002"/>
    <w:rsid w:val="00EA591D"/>
    <w:rsid w:val="00EA6902"/>
    <w:rsid w:val="00EA77C5"/>
    <w:rsid w:val="00EC23EC"/>
    <w:rsid w:val="00F01983"/>
    <w:rsid w:val="00F05B9C"/>
    <w:rsid w:val="00F1193E"/>
    <w:rsid w:val="00F1450C"/>
    <w:rsid w:val="00F42807"/>
    <w:rsid w:val="00F54E21"/>
    <w:rsid w:val="00F57FA0"/>
    <w:rsid w:val="00F61CD5"/>
    <w:rsid w:val="00F62E57"/>
    <w:rsid w:val="00F8065D"/>
    <w:rsid w:val="00F8234C"/>
    <w:rsid w:val="00F879E4"/>
    <w:rsid w:val="00F91974"/>
    <w:rsid w:val="00F97D60"/>
    <w:rsid w:val="00FC3455"/>
    <w:rsid w:val="00FC39AC"/>
    <w:rsid w:val="00FC7435"/>
    <w:rsid w:val="00FD2698"/>
    <w:rsid w:val="00FD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A9F9"/>
  <w15:chartTrackingRefBased/>
  <w15:docId w15:val="{DA71AC8A-B833-254A-BD12-F8332282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6902"/>
    <w:pPr>
      <w:spacing w:line="260" w:lineRule="atLeast"/>
      <w:jc w:val="both"/>
    </w:pPr>
    <w:rPr>
      <w:rFonts w:ascii="Palatino Linotype" w:hAnsi="Palatino Linotype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DPI11articletype">
    <w:name w:val="MDPI_1.1_article_type"/>
    <w:next w:val="Normale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e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e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e"/>
    <w:next w:val="Normale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e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e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Pidipagina">
    <w:name w:val="footer"/>
    <w:basedOn w:val="Normale"/>
    <w:link w:val="PidipaginaCarattere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dipaginaCarattere">
    <w:name w:val="Piè di pagina Carattere"/>
    <w:link w:val="Pidipagina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Intestazione">
    <w:name w:val="header"/>
    <w:basedOn w:val="Normale"/>
    <w:link w:val="IntestazioneCarattere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IntestazioneCarattere">
    <w:name w:val="Intestazione Carattere"/>
    <w:link w:val="Intestazione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EA6902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EA6902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DE228F"/>
    <w:pPr>
      <w:numPr>
        <w:numId w:val="18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Testofumetto">
    <w:name w:val="Balloon Text"/>
    <w:basedOn w:val="Normale"/>
    <w:link w:val="TestofumettoCarattere"/>
    <w:uiPriority w:val="99"/>
    <w:rsid w:val="00EA6902"/>
    <w:rPr>
      <w:rFonts w:cs="Tahoma"/>
      <w:szCs w:val="18"/>
    </w:rPr>
  </w:style>
  <w:style w:type="character" w:customStyle="1" w:styleId="TestofumettoCarattere">
    <w:name w:val="Testo fumetto Carattere"/>
    <w:link w:val="Testofumetto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Numeroriga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ellanormale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Collegamentoipertestuale">
    <w:name w:val="Hyperlink"/>
    <w:uiPriority w:val="99"/>
    <w:rsid w:val="00EA6902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A65FB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4">
    <w:name w:val="Plain Table 4"/>
    <w:basedOn w:val="Tabellanormale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A6902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ellanormale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Bibliografia">
    <w:name w:val="Bibliography"/>
    <w:basedOn w:val="Normale"/>
    <w:next w:val="Normale"/>
    <w:uiPriority w:val="37"/>
    <w:semiHidden/>
    <w:unhideWhenUsed/>
    <w:rsid w:val="00EA6902"/>
  </w:style>
  <w:style w:type="paragraph" w:styleId="Corpotesto">
    <w:name w:val="Body Text"/>
    <w:link w:val="CorpotestoCarattere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CorpotestoCarattere">
    <w:name w:val="Corpo testo Carattere"/>
    <w:link w:val="Corpotesto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Rimandocommento">
    <w:name w:val="annotation reference"/>
    <w:rsid w:val="00EA6902"/>
    <w:rPr>
      <w:sz w:val="21"/>
      <w:szCs w:val="21"/>
    </w:rPr>
  </w:style>
  <w:style w:type="paragraph" w:styleId="Testocommento">
    <w:name w:val="annotation text"/>
    <w:basedOn w:val="Normale"/>
    <w:link w:val="TestocommentoCarattere"/>
    <w:rsid w:val="00EA6902"/>
  </w:style>
  <w:style w:type="character" w:customStyle="1" w:styleId="TestocommentoCarattere">
    <w:name w:val="Testo commento Carattere"/>
    <w:link w:val="Testocommento"/>
    <w:rsid w:val="00EA6902"/>
    <w:rPr>
      <w:rFonts w:ascii="Palatino Linotype" w:hAnsi="Palatino Linotype"/>
      <w:noProof/>
      <w:color w:val="000000"/>
    </w:rPr>
  </w:style>
  <w:style w:type="paragraph" w:styleId="Soggettocommento">
    <w:name w:val="annotation subject"/>
    <w:basedOn w:val="Testocommento"/>
    <w:next w:val="Testocommento"/>
    <w:link w:val="SoggettocommentoCarattere"/>
    <w:rsid w:val="00EA6902"/>
    <w:rPr>
      <w:b/>
      <w:bCs/>
    </w:rPr>
  </w:style>
  <w:style w:type="character" w:customStyle="1" w:styleId="SoggettocommentoCarattere">
    <w:name w:val="Soggetto commento Carattere"/>
    <w:link w:val="Soggettocommento"/>
    <w:rsid w:val="00EA6902"/>
    <w:rPr>
      <w:rFonts w:ascii="Palatino Linotype" w:hAnsi="Palatino Linotype"/>
      <w:b/>
      <w:bCs/>
      <w:noProof/>
      <w:color w:val="000000"/>
    </w:rPr>
  </w:style>
  <w:style w:type="character" w:styleId="Rimandonotadichiusura">
    <w:name w:val="endnote reference"/>
    <w:rsid w:val="00EA6902"/>
    <w:rPr>
      <w:vertAlign w:val="superscript"/>
    </w:rPr>
  </w:style>
  <w:style w:type="paragraph" w:styleId="Testonotadichiusura">
    <w:name w:val="endnote text"/>
    <w:basedOn w:val="Normale"/>
    <w:link w:val="TestonotadichiusuraCarattere"/>
    <w:semiHidden/>
    <w:unhideWhenUsed/>
    <w:rsid w:val="00EA6902"/>
    <w:pPr>
      <w:spacing w:line="240" w:lineRule="auto"/>
    </w:pPr>
  </w:style>
  <w:style w:type="character" w:customStyle="1" w:styleId="TestonotadichiusuraCarattere">
    <w:name w:val="Testo nota di chiusura Carattere"/>
    <w:link w:val="Testonotadichiusura"/>
    <w:semiHidden/>
    <w:rsid w:val="00EA6902"/>
    <w:rPr>
      <w:rFonts w:ascii="Palatino Linotype" w:hAnsi="Palatino Linotype"/>
      <w:noProof/>
      <w:color w:val="000000"/>
    </w:rPr>
  </w:style>
  <w:style w:type="character" w:styleId="Collegamentovisitato">
    <w:name w:val="FollowedHyperlink"/>
    <w:rsid w:val="00EA6902"/>
    <w:rPr>
      <w:color w:val="954F72"/>
      <w:u w:val="single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EA6902"/>
    <w:pPr>
      <w:spacing w:line="240" w:lineRule="auto"/>
    </w:pPr>
  </w:style>
  <w:style w:type="character" w:customStyle="1" w:styleId="TestonotaapidipaginaCarattere">
    <w:name w:val="Testo nota a piè di pagina Carattere"/>
    <w:link w:val="Testonotaapidipagina"/>
    <w:semiHidden/>
    <w:rsid w:val="00EA6902"/>
    <w:rPr>
      <w:rFonts w:ascii="Palatino Linotype" w:hAnsi="Palatino Linotype"/>
      <w:noProof/>
      <w:color w:val="000000"/>
    </w:rPr>
  </w:style>
  <w:style w:type="paragraph" w:styleId="NormaleWeb">
    <w:name w:val="Normal (Web)"/>
    <w:basedOn w:val="Normale"/>
    <w:uiPriority w:val="99"/>
    <w:rsid w:val="00EA6902"/>
    <w:rPr>
      <w:szCs w:val="24"/>
    </w:rPr>
  </w:style>
  <w:style w:type="paragraph" w:customStyle="1" w:styleId="MsoFootnoteText0">
    <w:name w:val="MsoFootnoteText"/>
    <w:basedOn w:val="NormaleWeb"/>
    <w:qFormat/>
    <w:rsid w:val="00EA6902"/>
    <w:rPr>
      <w:rFonts w:ascii="Times New Roman" w:hAnsi="Times New Roman"/>
    </w:rPr>
  </w:style>
  <w:style w:type="character" w:styleId="Numeropagina">
    <w:name w:val="page number"/>
    <w:rsid w:val="00EA6902"/>
  </w:style>
  <w:style w:type="character" w:styleId="Testosegnaposto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D15FD7"/>
    <w:pPr>
      <w:numPr>
        <w:numId w:val="19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2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05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0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6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5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7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9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9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1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5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4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Stefania Braidotti</dc:creator>
  <cp:keywords/>
  <dc:description/>
  <cp:lastModifiedBy>natasha maximova</cp:lastModifiedBy>
  <cp:revision>2</cp:revision>
  <dcterms:created xsi:type="dcterms:W3CDTF">2023-09-13T12:15:00Z</dcterms:created>
  <dcterms:modified xsi:type="dcterms:W3CDTF">2023-09-13T12:15:00Z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42af537ec1920a05b906e2843eb2f6363d89dec5c79e717f6c54521ba7c9a0f0</vt:lpwstr>
  </property>
</Properties>
</file>