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483" w14:textId="77777777" w:rsidR="00A44A11" w:rsidRPr="00A44A11" w:rsidRDefault="00A44A11" w:rsidP="00A44A11">
      <w:pPr>
        <w:adjustRightInd w:val="0"/>
        <w:snapToGrid w:val="0"/>
        <w:spacing w:before="240" w:after="120" w:line="228" w:lineRule="auto"/>
        <w:jc w:val="both"/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</w:pPr>
      <w:r w:rsidRPr="00A44A11">
        <w:rPr>
          <w:rFonts w:ascii="Palatino Linotype" w:eastAsia="Times New Roman" w:hAnsi="Palatino Linotype" w:cs="Cordia New"/>
          <w:b/>
          <w:color w:val="000000"/>
          <w:kern w:val="0"/>
          <w:sz w:val="18"/>
          <w:lang w:val="en-US" w:eastAsia="de-DE" w:bidi="en-US"/>
          <w14:ligatures w14:val="none"/>
        </w:rPr>
        <w:t>Table S1.</w:t>
      </w:r>
      <w:r w:rsidRPr="00A44A11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Revised articles about sexual health and psychological well-being</w:t>
      </w:r>
    </w:p>
    <w:p w14:paraId="0FAA0EC3" w14:textId="77777777" w:rsidR="00A44A11" w:rsidRPr="00A44A11" w:rsidRDefault="00A44A11" w:rsidP="00A44A11">
      <w:pPr>
        <w:adjustRightInd w:val="0"/>
        <w:snapToGrid w:val="0"/>
        <w:spacing w:after="0" w:line="228" w:lineRule="auto"/>
        <w:ind w:left="567"/>
        <w:jc w:val="both"/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93"/>
        <w:gridCol w:w="948"/>
        <w:gridCol w:w="648"/>
        <w:gridCol w:w="656"/>
        <w:gridCol w:w="661"/>
        <w:gridCol w:w="666"/>
        <w:gridCol w:w="852"/>
        <w:gridCol w:w="282"/>
        <w:gridCol w:w="863"/>
        <w:gridCol w:w="2020"/>
        <w:gridCol w:w="282"/>
        <w:gridCol w:w="1003"/>
        <w:gridCol w:w="1090"/>
        <w:gridCol w:w="1063"/>
        <w:gridCol w:w="1673"/>
        <w:gridCol w:w="1298"/>
      </w:tblGrid>
      <w:tr w:rsidR="00A44A11" w:rsidRPr="00A44A11" w14:paraId="29B9F7C7" w14:textId="77777777" w:rsidTr="00A44A11">
        <w:trPr>
          <w:trHeight w:val="400"/>
        </w:trPr>
        <w:tc>
          <w:tcPr>
            <w:tcW w:w="375" w:type="pct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1906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Study</w:t>
            </w:r>
          </w:p>
        </w:tc>
        <w:tc>
          <w:tcPr>
            <w:tcW w:w="625" w:type="pct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A7EB" w14:textId="77777777" w:rsidR="00A44A11" w:rsidRPr="00A44A11" w:rsidRDefault="00A44A11" w:rsidP="00A44A1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Sample</w:t>
            </w:r>
          </w:p>
        </w:tc>
        <w:tc>
          <w:tcPr>
            <w:tcW w:w="667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805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Type of sample</w:t>
            </w:r>
          </w:p>
        </w:tc>
        <w:tc>
          <w:tcPr>
            <w:tcW w:w="875" w:type="pct"/>
            <w:gridSpan w:val="4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CA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Mental health variable</w:t>
            </w:r>
          </w:p>
        </w:tc>
        <w:tc>
          <w:tcPr>
            <w:tcW w:w="688" w:type="pct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E1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Sexual health variable</w:t>
            </w:r>
          </w:p>
        </w:tc>
        <w:tc>
          <w:tcPr>
            <w:tcW w:w="833" w:type="pct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92D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Measures used</w:t>
            </w:r>
          </w:p>
        </w:tc>
        <w:tc>
          <w:tcPr>
            <w:tcW w:w="93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CA3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Results</w:t>
            </w:r>
          </w:p>
        </w:tc>
      </w:tr>
      <w:tr w:rsidR="00A44A11" w:rsidRPr="00A44A11" w14:paraId="21D157F2" w14:textId="77777777" w:rsidTr="00A44A11">
        <w:trPr>
          <w:trHeight w:val="400"/>
        </w:trPr>
        <w:tc>
          <w:tcPr>
            <w:tcW w:w="37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3459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8EF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518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Clinical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A746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Student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4A2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General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516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Anxiety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755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Depression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3A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Other</w:t>
            </w:r>
          </w:p>
          <w:p w14:paraId="7FD32B6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0B5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Pertaining to sexual functioning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FAF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Other</w:t>
            </w:r>
          </w:p>
          <w:p w14:paraId="7A3D1CE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290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Mental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AF0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Sexual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B12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Type of results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C2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Type of association</w:t>
            </w:r>
          </w:p>
        </w:tc>
      </w:tr>
      <w:tr w:rsidR="00A44A11" w:rsidRPr="00A44A11" w14:paraId="4CAF1D28" w14:textId="77777777" w:rsidTr="00A44A11">
        <w:trPr>
          <w:trHeight w:val="2159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7A62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Cook et al. (2013)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71EB5D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180 adults with congenital heart disease with implantable cardioverter-defibrillators (ICDs) and without ICDs (44% females).  n = 25 women with ICDs; n = 54 women without ICDs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384A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5ACD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473FB8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599A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552B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2502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168D72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 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3EDB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3051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C37BA2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DE9E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The Florida Shock Anxiety Scale (FSAS), The Beck Depression Inventory-II (BDI-II)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232F41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Female Sexual Functioning Index (FSFI)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A366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Psychological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394C0A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Anxiety and depression were associated with sexual functioning</w:t>
            </w:r>
          </w:p>
        </w:tc>
      </w:tr>
      <w:tr w:rsidR="00A44A11" w:rsidRPr="00A44A11" w14:paraId="74DB82E7" w14:textId="77777777" w:rsidTr="00A44A11">
        <w:trPr>
          <w:trHeight w:val="1880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E6F9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Dong et al. (2021)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00C729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N = 1,442 adults with 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infirtility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(57.4% females).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 xml:space="preserve">n = 278 women with postponed fertility treatment; 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n = 549 women with fertility treatment not delayed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5BAB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7E0F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BEEDE5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5862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96ED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F4AE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298B34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Quality of marriage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2188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3272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3D169D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64E2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Generalized Anxiety Disorder scale (GAD-7), Patient Health Questionnaire (PHQ-9), Quality of Marriage Index (QMI)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F81E27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Female Sexual Function Index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(FSFI)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B0D4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Contextual, Psychological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299799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Postponed fertility treatment was associated with distress; and distress, with sexual health</w:t>
            </w:r>
          </w:p>
        </w:tc>
      </w:tr>
      <w:tr w:rsidR="00A44A11" w:rsidRPr="00A44A11" w14:paraId="64C11995" w14:textId="77777777" w:rsidTr="00A44A11">
        <w:trPr>
          <w:trHeight w:val="1871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9D65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Dubin et al. (2020)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9DFF21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13,617 women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812B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2913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91A586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F3F4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ADC3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FBD0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4D4214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Self-confidence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D187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0D40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82732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9310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Ad hoc 30-item online survey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E2AD5C6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Ad hoc 30-item online survey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7ECE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Contextual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4289AA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Partner's ED was associated with negative impacts on female mental health, sexual satisfaction, and the success of the overall partnership.</w:t>
            </w:r>
          </w:p>
        </w:tc>
      </w:tr>
      <w:tr w:rsidR="00A44A11" w:rsidRPr="00A44A11" w14:paraId="047CC769" w14:textId="77777777" w:rsidTr="00A44A11">
        <w:trPr>
          <w:trHeight w:val="1952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F561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Fogh et al. (2021)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495F4C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N = 333 women breast cancer survivors (BCSs)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CB3B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E72E26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7E24A4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7B9B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D79D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8732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1D608D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Body image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DF50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CD31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94C291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Distress caused by sexual complain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17FF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Beck Depression Inventory (BDI), CARES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52634E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Female Sexual Function Index (FSFI), Sexual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Complaint Screener – Women (SCS-W), ICIQ-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FLUTSsex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8D23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Medical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43586A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Being on cancer treatment was associated with sexual dysfunction</w:t>
            </w:r>
          </w:p>
        </w:tc>
      </w:tr>
      <w:tr w:rsidR="00A44A11" w:rsidRPr="00A44A11" w14:paraId="493D6CBC" w14:textId="77777777" w:rsidTr="00A44A11">
        <w:trPr>
          <w:trHeight w:val="665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AC6D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Hertz et al. (2022)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CAAC25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206 individuals (63.6% females).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n = 89 with ADHD; n = 44 without ADHD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EE2E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329C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2E5C4A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617F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1CAF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3A7E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F9D9B7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Attention deficit disorder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20DC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86F0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689300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Sexual risk and Hypersexual behaviors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50C8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Self-Report Wender-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Reimherr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Adult Attention Deficit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Disorder Scale (SR-WRAADDS)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4BEA4E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Sexual Risk Survey (SRS), Hypersexual Behavior Inventory (HBI-19), Sexual Behavior Questionnaire-German Version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(SBQ-G)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84606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Medical, 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Psychologycal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E33187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ADHD, hypersexual behaviors, sexual risk-taking, and sexual dysfunction were associated with symptoms of emotional dysregulation, impulsivity, and oppositional symptoms</w:t>
            </w:r>
          </w:p>
        </w:tc>
      </w:tr>
      <w:tr w:rsidR="00A44A11" w:rsidRPr="00A44A11" w14:paraId="32CC24CE" w14:textId="77777777" w:rsidTr="00A44A11">
        <w:trPr>
          <w:trHeight w:val="1538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13F4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Liñan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-Bermudez et al. (2022)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D65CF4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N = 60 women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E998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3F6A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7A4A1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A5ED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5B7F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0939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8EA0B1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Severity of climacteric symptoms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8ADB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D84C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B0B6F5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Severity of climacteric symptoms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BBE3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Beck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Depression Inventory (BDI), Menopause Rating Scale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D7D1AD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Female Sexual Function Questionnaire-2 (FSFQ-2)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AD82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Medical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AC2809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Urogenital aspects of 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climacteria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were associated with depression and negatively associated 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with sexual functioning</w:t>
            </w:r>
          </w:p>
        </w:tc>
      </w:tr>
      <w:tr w:rsidR="00A44A11" w:rsidRPr="00A44A11" w14:paraId="4728D820" w14:textId="77777777" w:rsidTr="00A44A11">
        <w:trPr>
          <w:trHeight w:val="1790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CC7A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Mistler et al. (2021)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B74432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110 individuals on methadone as treatment for OUD opioid use disorder (56% females)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2430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2658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7CE64F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3CE3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AEB3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DC77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F0AD69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Loneliness and frustration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6F99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2833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BE132B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Condomless sex and transactional sex behavior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29C6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Ad hoc measures about social, demographic, and health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717B93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Ad hoc measures about social, demographic, and health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8847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Contextual, Psychological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16E7FC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Most participants reported no change in sexual health-related behaviors, and very few reported an increase in sex-related behaviors due to COVID-19</w:t>
            </w:r>
          </w:p>
        </w:tc>
      </w:tr>
      <w:tr w:rsidR="00A44A11" w:rsidRPr="00A44A11" w14:paraId="2970B4FE" w14:textId="77777777" w:rsidTr="00A44A11">
        <w:trPr>
          <w:trHeight w:val="1980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80D8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Mollaioli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et al. (2021)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B2AEB7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N = 6,821 individuals (61.24% females)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76F9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10BB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14C0C5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1D4F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421D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3C0C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FA658B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Dyadic adjustment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5816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3077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233EE6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0B40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Generalized Anxiety Disorder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scale (GAD-7), Patient Health Questionnaire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(PHQ-9), Dyadic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Adjustment Scale (DAS)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3774C6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Orgasmometer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(a </w:t>
            </w:r>
            <w:proofErr w:type="gram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single-item</w:t>
            </w:r>
            <w:proofErr w:type="gram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about the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intensity of the perception of the orgasmic experience), Female Sexual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Function Index (FSFI)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AFFC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Contextual, Psychological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AF378D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Lack of sexual activity during COVID-19 confinement was associated with an increased risk of anxiety and depression</w:t>
            </w:r>
          </w:p>
        </w:tc>
      </w:tr>
      <w:tr w:rsidR="00A44A11" w:rsidRPr="00A44A11" w14:paraId="1522A057" w14:textId="77777777" w:rsidTr="00A44A11">
        <w:trPr>
          <w:trHeight w:val="450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C2DA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Mooney et al. (2022)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0D0D83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N = 152 partnered 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individuals (84.2% females)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 xml:space="preserve">n = 76 couples with PGAD/GPD symptoms; n = 76 couples without PGAD/GPD 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symptons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32FF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4C25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EB1789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C675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6363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A0D1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374AE4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Couple satisfaction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EB6D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9B9F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1EFFA7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Sexual distress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7A65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PGAD/GPD Symptom 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Details, Couple -Satisfaction Index-Short Form (CSI), Hospital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Anxiety and Depression Scale (HADS)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965BAB6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 xml:space="preserve">Global Measure of Sexual 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Satisfaction (GMSEX), Female Sexual Functioning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Index (FSFI), Sexual Distress Scale (SDS)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8C73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Medical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1C030F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PGAD/GPD symptoms were 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associated with low sexual and relationship satisfaction, increased sexual stress and more symptoms of depression and anxiety</w:t>
            </w:r>
          </w:p>
        </w:tc>
      </w:tr>
      <w:tr w:rsidR="00A44A11" w:rsidRPr="00A44A11" w14:paraId="40830C4C" w14:textId="77777777" w:rsidTr="00A44A11">
        <w:trPr>
          <w:trHeight w:val="755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DD6B6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Philip et al. (2013)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CD2EB4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70 female rectal and anal cancer survivors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97AB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633A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9F8275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B269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4B98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EA39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D36079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Quality of life and body image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EB0E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587D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21897C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Sexual enjoyment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4476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Impact of Events Scale-Revised (IES-R), the Brief Symptom Inventory (BSI), Treatment of Cancer Core Quality of Life Questionnaire (EORTC-QLQ-C30)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1B3E92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Female sexual functioning index (FSFI), European Organization for Research and Treatment of Cancer </w:t>
            </w:r>
            <w:proofErr w:type="gram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Core  Colorectal</w:t>
            </w:r>
            <w:proofErr w:type="gram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Cancer-Specific Module (EORTC-QLQ-CR38)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5240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Medical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643579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Body image, anxiety, and cancer-specific post-traumatic distress were associated with sexual functioning</w:t>
            </w:r>
          </w:p>
        </w:tc>
      </w:tr>
      <w:tr w:rsidR="00A44A11" w:rsidRPr="00A44A11" w14:paraId="0501DC5A" w14:textId="77777777" w:rsidTr="00A44A11">
        <w:trPr>
          <w:trHeight w:val="3519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BA96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Polihronakis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et al. (2021)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91EE6E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352 women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D09F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3ADE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FF3761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573D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90C9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5CE4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CE6910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Attitudes toward appearance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72F6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19B0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164CF2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Sexual objectification and anti-bisexual experiences, and sexual risk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CF2A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Internalization-General (IG) subscale of the Sociocultural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Attitudes Toward Appearance Questionnaire-3 (SATAQ-3), Objectified</w:t>
            </w: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Body Consciousness Scale (OBCS-Survey)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5A69DF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Interpersonal Sexual Objectification Scale (ISOS), Anti-Bisexual Experiences Scale (ABES), Sexual Risk Survey (SRS)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681F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Contextual, Psychological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8B3CE6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Bisexual women's experiences of marginalization were related to both body image concerns and risky sexual behaviors</w:t>
            </w:r>
          </w:p>
        </w:tc>
      </w:tr>
      <w:tr w:rsidR="00A44A11" w:rsidRPr="00A44A11" w14:paraId="60118AD2" w14:textId="77777777" w:rsidTr="00A44A11">
        <w:trPr>
          <w:trHeight w:val="1763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F0C2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Simon et al. (2022)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631715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530 women with HSDD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5A2D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41D1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36BF9C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B2B8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0BB46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D23E0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5963219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Being satisfied with life, quality of sleep, mental ability, 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etc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CCE3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0B5E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F5E49BC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F98B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12-Item Short Form Survey (SF-12)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5D1D7F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Female Sexual Functioning Index (FSFI)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780A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Medical, 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Psychologycal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DEEDFE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Symptoms of hypoactive sexual desire were associated with poor health in quality of life, mental well-being, and couple relationship</w:t>
            </w:r>
          </w:p>
        </w:tc>
      </w:tr>
      <w:tr w:rsidR="00A44A11" w:rsidRPr="00A44A11" w14:paraId="52F01BB8" w14:textId="77777777" w:rsidTr="00A44A11">
        <w:trPr>
          <w:trHeight w:val="2015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7809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Vedovo et al. (2021)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6DC123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205 women. n = 125 transgender women; 80 cisgender women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2C1A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B49E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B0F0BE4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8160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1C91B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D045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36CA79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Mental health and vitality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737C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D64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DCFA3AE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70DC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Beck Depression Inventory Primary Care (BDI-PC), General Health Survey (SF-36)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C691EC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Female Sexual Function Index (FSFI), Operated Male to Female Sexual Function Index (</w:t>
            </w:r>
            <w:proofErr w:type="spellStart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OMtFSI</w:t>
            </w:r>
            <w:proofErr w:type="spellEnd"/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F9A8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Psychological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2690BA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The relationship between depressive symptoms and sexual function was greater in transgender. Sexual pain substantially predicts risk of depression in transgender</w:t>
            </w:r>
          </w:p>
        </w:tc>
      </w:tr>
      <w:tr w:rsidR="00A44A11" w:rsidRPr="00A44A11" w14:paraId="3B09BF8C" w14:textId="77777777" w:rsidTr="00A44A11">
        <w:trPr>
          <w:trHeight w:val="1980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606441D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Vedovo et al. (2022)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hideMark/>
          </w:tcPr>
          <w:p w14:paraId="013E2FA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N = 2,543 (43.4% female)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49B6874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7A71CEA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hideMark/>
          </w:tcPr>
          <w:p w14:paraId="7B11794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6866F4B5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50C6A217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6F451A2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hideMark/>
          </w:tcPr>
          <w:p w14:paraId="490852A8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Mental health, vitality, and loneliness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5F57DBC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489879CD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hideMark/>
          </w:tcPr>
          <w:p w14:paraId="1C859301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4B65458F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Beck Depression Inventory Primary Care (BDI-PC), General Health Survey (SF-36), UCLA Loneliness Scale-version 3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hideMark/>
          </w:tcPr>
          <w:p w14:paraId="072A61A2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Female Sexual Function Index (FSFI)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7FF03FCA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Contextual, Psychological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hideMark/>
          </w:tcPr>
          <w:p w14:paraId="3ECC3493" w14:textId="77777777" w:rsidR="00A44A11" w:rsidRPr="00A44A11" w:rsidRDefault="00A44A11" w:rsidP="00A44A11">
            <w:pPr>
              <w:spacing w:after="0" w:line="260" w:lineRule="atLeast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A44A11"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Social constraint had a negative impact on sexual function</w:t>
            </w:r>
          </w:p>
        </w:tc>
      </w:tr>
    </w:tbl>
    <w:p w14:paraId="4C3AF967" w14:textId="77777777" w:rsidR="007A53F5" w:rsidRPr="00A44A11" w:rsidRDefault="007A53F5">
      <w:pPr>
        <w:rPr>
          <w:lang w:val="en-US"/>
        </w:rPr>
      </w:pPr>
    </w:p>
    <w:sectPr w:rsidR="007A53F5" w:rsidRPr="00A44A11" w:rsidSect="00A44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0NDIwNjE2MjM1MDZQ0lEKTi0uzszPAykwrAUAybVsgCwAAAA="/>
  </w:docVars>
  <w:rsids>
    <w:rsidRoot w:val="007E5141"/>
    <w:rsid w:val="007A53F5"/>
    <w:rsid w:val="007E5141"/>
    <w:rsid w:val="00A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6D28"/>
  <w15:chartTrackingRefBased/>
  <w15:docId w15:val="{CC52DBA3-7F40-4B3C-9D80-70C51F75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1011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Arcos Romero</dc:creator>
  <cp:keywords/>
  <dc:description/>
  <cp:lastModifiedBy>Ana Isabel Arcos Romero</cp:lastModifiedBy>
  <cp:revision>2</cp:revision>
  <dcterms:created xsi:type="dcterms:W3CDTF">2023-09-26T08:53:00Z</dcterms:created>
  <dcterms:modified xsi:type="dcterms:W3CDTF">2023-09-26T08:54:00Z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419d4b94c6f22d590d2d5887f6516ed654689732210ea238641c3fc9715c9e01</vt:lpwstr>
  </property>
</Properties>
</file>