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BF9400" w14:textId="08D5CCFC" w:rsidR="00581FD5" w:rsidRPr="00581FD5" w:rsidRDefault="00581FD5" w:rsidP="00581FD5">
      <w:pPr>
        <w:pStyle w:val="MDPI12title"/>
        <w:jc w:val="center"/>
        <w:rPr>
          <w:b w:val="0"/>
          <w:i/>
          <w:iCs/>
        </w:rPr>
      </w:pPr>
      <w:bookmarkStart w:id="0" w:name="_GoBack"/>
      <w:bookmarkEnd w:id="0"/>
      <w:r>
        <w:rPr>
          <w:b w:val="0"/>
          <w:i/>
          <w:iCs/>
        </w:rPr>
        <w:t>Supplementary material</w:t>
      </w:r>
    </w:p>
    <w:p w14:paraId="4C03BD71" w14:textId="13FA6A89" w:rsidR="00581FD5" w:rsidRPr="003B1AF1" w:rsidRDefault="00CD5E8A" w:rsidP="00581FD5">
      <w:pPr>
        <w:pStyle w:val="MDPI12title"/>
        <w:jc w:val="center"/>
      </w:pPr>
      <w:proofErr w:type="spellStart"/>
      <w:r>
        <w:t>N</w:t>
      </w:r>
      <w:r w:rsidRPr="00345806">
        <w:t>anoparticulated</w:t>
      </w:r>
      <w:proofErr w:type="spellEnd"/>
      <w:r w:rsidRPr="00345806">
        <w:t xml:space="preserve"> </w:t>
      </w:r>
      <w:r>
        <w:t>WO</w:t>
      </w:r>
      <w:r>
        <w:rPr>
          <w:vertAlign w:val="subscript"/>
        </w:rPr>
        <w:t>3</w:t>
      </w:r>
      <w:r>
        <w:t>/</w:t>
      </w:r>
      <w:proofErr w:type="spellStart"/>
      <w:r>
        <w:t>NiO</w:t>
      </w:r>
      <w:proofErr w:type="spellEnd"/>
      <w:r>
        <w:t xml:space="preserve"> </w:t>
      </w:r>
      <w:r w:rsidRPr="00345806">
        <w:t xml:space="preserve">using </w:t>
      </w:r>
      <w:r w:rsidR="00E07929">
        <w:t>microcrystalline cellulose</w:t>
      </w:r>
      <w:r w:rsidRPr="00345806">
        <w:t xml:space="preserve"> as </w:t>
      </w:r>
      <w:r>
        <w:t xml:space="preserve">a </w:t>
      </w:r>
      <w:r w:rsidRPr="00345806">
        <w:t>template</w:t>
      </w:r>
      <w:r>
        <w:t xml:space="preserve"> and its application as auxiliary oxides to Pt for ethanol and glycerol electro-oxidation</w:t>
      </w:r>
      <w:r w:rsidR="00507A2A">
        <w:t xml:space="preserve"> to produce green hydrogen</w:t>
      </w:r>
    </w:p>
    <w:p w14:paraId="727E675B" w14:textId="7467006B" w:rsidR="00CD5E8A" w:rsidRDefault="00CD5E8A" w:rsidP="00CD5E8A">
      <w:pPr>
        <w:pStyle w:val="MDPI13authornames"/>
      </w:pPr>
      <w:proofErr w:type="spellStart"/>
      <w:r w:rsidRPr="00CD5E8A">
        <w:t>Munique</w:t>
      </w:r>
      <w:proofErr w:type="spellEnd"/>
      <w:r w:rsidRPr="00CD5E8A">
        <w:t xml:space="preserve"> G. Guimarães, Júlio L. Macedo, José J. Linares and Grace F. Ghesti</w:t>
      </w:r>
    </w:p>
    <w:p w14:paraId="1A68754C" w14:textId="4AF62690" w:rsidR="001B3918" w:rsidRDefault="001B3918" w:rsidP="001B3918">
      <w:pPr>
        <w:pStyle w:val="MDPI31text"/>
        <w:ind w:left="0" w:firstLine="0"/>
      </w:pPr>
      <w:r>
        <w:t>Table S1 collects the main thermal parameters of the raw microcrystalline cellulose (MCC) used as raw matter for preparing the nanocrystalline cellulose (NCC). As can be observed, the final ash content of the material is null, which is crucial for its application as a template and subsequent calcination.</w:t>
      </w:r>
    </w:p>
    <w:p w14:paraId="00858980" w14:textId="77777777" w:rsidR="00847374" w:rsidRDefault="00847374" w:rsidP="00847374">
      <w:pPr>
        <w:pStyle w:val="MDPI31text"/>
        <w:ind w:left="0" w:firstLine="0"/>
        <w:jc w:val="center"/>
      </w:pPr>
    </w:p>
    <w:p w14:paraId="3E5427AA" w14:textId="7368B26B" w:rsidR="001B3918" w:rsidRPr="006F24CB" w:rsidRDefault="00CF17F2" w:rsidP="00847374">
      <w:pPr>
        <w:pStyle w:val="MDPI31text"/>
        <w:ind w:left="0" w:firstLine="0"/>
        <w:jc w:val="center"/>
      </w:pPr>
      <w:r>
        <w:rPr>
          <w:b/>
          <w:bCs/>
        </w:rPr>
        <w:t xml:space="preserve">Table S1. </w:t>
      </w:r>
      <w:r w:rsidR="006F24CB">
        <w:t>Thermal parameters of the original MCC</w:t>
      </w:r>
    </w:p>
    <w:tbl>
      <w:tblPr>
        <w:tblW w:w="4678" w:type="dxa"/>
        <w:jc w:val="center"/>
        <w:tblLayout w:type="fixed"/>
        <w:tblLook w:val="0400" w:firstRow="0" w:lastRow="0" w:firstColumn="0" w:lastColumn="0" w:noHBand="0" w:noVBand="1"/>
      </w:tblPr>
      <w:tblGrid>
        <w:gridCol w:w="2829"/>
        <w:gridCol w:w="1849"/>
      </w:tblGrid>
      <w:tr w:rsidR="001B3918" w14:paraId="657718A5" w14:textId="77777777" w:rsidTr="000F2F2C">
        <w:trPr>
          <w:jc w:val="center"/>
        </w:trPr>
        <w:tc>
          <w:tcPr>
            <w:tcW w:w="2829" w:type="dxa"/>
            <w:tcBorders>
              <w:top w:val="single" w:sz="4" w:space="0" w:color="000000"/>
              <w:left w:val="nil"/>
              <w:bottom w:val="single" w:sz="4" w:space="0" w:color="000000"/>
              <w:right w:val="nil"/>
            </w:tcBorders>
          </w:tcPr>
          <w:p w14:paraId="65BC1776" w14:textId="3CB294BC" w:rsidR="001B3918" w:rsidRPr="001B3918" w:rsidRDefault="001B3918" w:rsidP="001B3918">
            <w:pPr>
              <w:spacing w:after="0"/>
              <w:jc w:val="center"/>
              <w:rPr>
                <w:rFonts w:ascii="Palatino Linotype" w:eastAsia="Times New Roman" w:hAnsi="Palatino Linotype" w:cs="Times New Roman"/>
                <w:b/>
                <w:color w:val="2E2E2E"/>
                <w:sz w:val="20"/>
                <w:szCs w:val="20"/>
                <w:lang w:val="en-US"/>
              </w:rPr>
            </w:pPr>
            <w:r w:rsidRPr="001B3918">
              <w:rPr>
                <w:rFonts w:ascii="Palatino Linotype" w:eastAsia="Times New Roman" w:hAnsi="Palatino Linotype" w:cs="Times New Roman"/>
                <w:b/>
                <w:sz w:val="20"/>
                <w:szCs w:val="20"/>
                <w:lang w:val="en-US"/>
              </w:rPr>
              <w:t>Parameter</w:t>
            </w:r>
          </w:p>
        </w:tc>
        <w:tc>
          <w:tcPr>
            <w:tcW w:w="1849" w:type="dxa"/>
            <w:tcBorders>
              <w:top w:val="single" w:sz="4" w:space="0" w:color="000000"/>
              <w:left w:val="nil"/>
              <w:bottom w:val="single" w:sz="4" w:space="0" w:color="000000"/>
              <w:right w:val="nil"/>
            </w:tcBorders>
          </w:tcPr>
          <w:p w14:paraId="7BDCECD8" w14:textId="77777777" w:rsidR="001B3918" w:rsidRPr="001B3918" w:rsidRDefault="001B3918" w:rsidP="001B3918">
            <w:pPr>
              <w:spacing w:after="0"/>
              <w:jc w:val="center"/>
              <w:rPr>
                <w:rFonts w:ascii="Palatino Linotype" w:eastAsia="Times New Roman" w:hAnsi="Palatino Linotype" w:cs="Times New Roman"/>
                <w:b/>
                <w:color w:val="2E2E2E"/>
                <w:sz w:val="20"/>
                <w:szCs w:val="20"/>
                <w:lang w:val="en-US"/>
              </w:rPr>
            </w:pPr>
            <w:r w:rsidRPr="001B3918">
              <w:rPr>
                <w:rFonts w:ascii="Palatino Linotype" w:eastAsia="Times New Roman" w:hAnsi="Palatino Linotype" w:cs="Times New Roman"/>
                <w:b/>
                <w:color w:val="2E2E2E"/>
                <w:sz w:val="20"/>
                <w:szCs w:val="20"/>
                <w:lang w:val="en-US"/>
              </w:rPr>
              <w:t>(%)</w:t>
            </w:r>
          </w:p>
        </w:tc>
      </w:tr>
      <w:tr w:rsidR="001B3918" w14:paraId="110EAB7D" w14:textId="77777777" w:rsidTr="001B3918">
        <w:trPr>
          <w:jc w:val="center"/>
        </w:trPr>
        <w:tc>
          <w:tcPr>
            <w:tcW w:w="2829" w:type="dxa"/>
            <w:tcBorders>
              <w:top w:val="single" w:sz="4" w:space="0" w:color="000000"/>
              <w:left w:val="nil"/>
              <w:bottom w:val="nil"/>
              <w:right w:val="nil"/>
            </w:tcBorders>
            <w:shd w:val="clear" w:color="auto" w:fill="auto"/>
          </w:tcPr>
          <w:p w14:paraId="24F96DA6" w14:textId="4DE1963A" w:rsidR="001B3918" w:rsidRPr="001B3918" w:rsidRDefault="001B3918" w:rsidP="001B3918">
            <w:pPr>
              <w:spacing w:after="0"/>
              <w:jc w:val="center"/>
              <w:rPr>
                <w:rFonts w:ascii="Palatino Linotype" w:eastAsia="Times New Roman" w:hAnsi="Palatino Linotype" w:cs="Times New Roman"/>
                <w:bCs/>
                <w:sz w:val="20"/>
                <w:szCs w:val="20"/>
                <w:lang w:val="en-US"/>
              </w:rPr>
            </w:pPr>
            <w:r w:rsidRPr="001B3918">
              <w:rPr>
                <w:rFonts w:ascii="Palatino Linotype" w:eastAsia="Times New Roman" w:hAnsi="Palatino Linotype" w:cs="Times New Roman"/>
                <w:bCs/>
                <w:sz w:val="20"/>
                <w:szCs w:val="20"/>
                <w:lang w:val="en-US"/>
              </w:rPr>
              <w:t>Moisture content (%)</w:t>
            </w:r>
          </w:p>
        </w:tc>
        <w:tc>
          <w:tcPr>
            <w:tcW w:w="1849" w:type="dxa"/>
            <w:tcBorders>
              <w:top w:val="single" w:sz="4" w:space="0" w:color="000000"/>
              <w:left w:val="nil"/>
              <w:bottom w:val="nil"/>
              <w:right w:val="nil"/>
            </w:tcBorders>
            <w:shd w:val="clear" w:color="auto" w:fill="auto"/>
          </w:tcPr>
          <w:p w14:paraId="0FF04EE0" w14:textId="6B4A4DE5" w:rsidR="001B3918" w:rsidRPr="001B3918" w:rsidRDefault="001B3918" w:rsidP="001B3918">
            <w:pPr>
              <w:spacing w:after="0"/>
              <w:jc w:val="center"/>
              <w:rPr>
                <w:rFonts w:ascii="Palatino Linotype" w:eastAsia="Times New Roman" w:hAnsi="Palatino Linotype" w:cs="Times New Roman"/>
                <w:bCs/>
                <w:color w:val="2E2E2E"/>
                <w:sz w:val="20"/>
                <w:szCs w:val="20"/>
                <w:lang w:val="en-US"/>
              </w:rPr>
            </w:pPr>
            <w:r w:rsidRPr="001B3918">
              <w:rPr>
                <w:rFonts w:ascii="Palatino Linotype" w:eastAsia="Times New Roman" w:hAnsi="Palatino Linotype" w:cs="Times New Roman"/>
                <w:bCs/>
                <w:color w:val="2E2E2E"/>
                <w:sz w:val="20"/>
                <w:szCs w:val="20"/>
                <w:lang w:val="en-US"/>
              </w:rPr>
              <w:t>4.69</w:t>
            </w:r>
          </w:p>
        </w:tc>
      </w:tr>
      <w:tr w:rsidR="001B3918" w14:paraId="4A4C1EF2" w14:textId="77777777" w:rsidTr="001B3918">
        <w:trPr>
          <w:jc w:val="center"/>
        </w:trPr>
        <w:tc>
          <w:tcPr>
            <w:tcW w:w="2829" w:type="dxa"/>
            <w:shd w:val="clear" w:color="auto" w:fill="auto"/>
          </w:tcPr>
          <w:p w14:paraId="7AD59227" w14:textId="6DCB4DE2" w:rsidR="001B3918" w:rsidRPr="001B3918" w:rsidRDefault="001B3918" w:rsidP="001B3918">
            <w:pPr>
              <w:spacing w:after="0"/>
              <w:jc w:val="center"/>
              <w:rPr>
                <w:rFonts w:ascii="Palatino Linotype" w:eastAsia="Times New Roman" w:hAnsi="Palatino Linotype" w:cs="Times New Roman"/>
                <w:bCs/>
                <w:sz w:val="20"/>
                <w:szCs w:val="20"/>
                <w:lang w:val="en-US"/>
              </w:rPr>
            </w:pPr>
            <w:r w:rsidRPr="001B3918">
              <w:rPr>
                <w:rFonts w:ascii="Palatino Linotype" w:eastAsia="Times New Roman" w:hAnsi="Palatino Linotype" w:cs="Times New Roman"/>
                <w:bCs/>
                <w:sz w:val="20"/>
                <w:szCs w:val="20"/>
                <w:lang w:val="en-US"/>
              </w:rPr>
              <w:t>Volatiles (%)</w:t>
            </w:r>
          </w:p>
        </w:tc>
        <w:tc>
          <w:tcPr>
            <w:tcW w:w="1849" w:type="dxa"/>
            <w:shd w:val="clear" w:color="auto" w:fill="auto"/>
          </w:tcPr>
          <w:p w14:paraId="6E54E7C3" w14:textId="69CA41A8" w:rsidR="001B3918" w:rsidRPr="001B3918" w:rsidRDefault="001B3918" w:rsidP="001B3918">
            <w:pPr>
              <w:spacing w:after="0"/>
              <w:jc w:val="center"/>
              <w:rPr>
                <w:rFonts w:ascii="Palatino Linotype" w:eastAsia="Times New Roman" w:hAnsi="Palatino Linotype" w:cs="Times New Roman"/>
                <w:bCs/>
                <w:color w:val="2E2E2E"/>
                <w:sz w:val="20"/>
                <w:szCs w:val="20"/>
                <w:lang w:val="en-US"/>
              </w:rPr>
            </w:pPr>
            <w:r w:rsidRPr="001B3918">
              <w:rPr>
                <w:rFonts w:ascii="Palatino Linotype" w:eastAsia="Times New Roman" w:hAnsi="Palatino Linotype" w:cs="Times New Roman"/>
                <w:bCs/>
                <w:color w:val="2E2E2E"/>
                <w:sz w:val="20"/>
                <w:szCs w:val="20"/>
                <w:lang w:val="en-US"/>
              </w:rPr>
              <w:t>94.11</w:t>
            </w:r>
          </w:p>
        </w:tc>
      </w:tr>
      <w:tr w:rsidR="001B3918" w14:paraId="0CE4A3EC" w14:textId="77777777" w:rsidTr="001B3918">
        <w:trPr>
          <w:jc w:val="center"/>
        </w:trPr>
        <w:tc>
          <w:tcPr>
            <w:tcW w:w="2829" w:type="dxa"/>
            <w:shd w:val="clear" w:color="auto" w:fill="auto"/>
          </w:tcPr>
          <w:p w14:paraId="654C1489" w14:textId="03573077" w:rsidR="001B3918" w:rsidRPr="001B3918" w:rsidRDefault="001B3918" w:rsidP="001B3918">
            <w:pPr>
              <w:spacing w:after="0"/>
              <w:jc w:val="center"/>
              <w:rPr>
                <w:rFonts w:ascii="Palatino Linotype" w:eastAsia="Times New Roman" w:hAnsi="Palatino Linotype" w:cs="Times New Roman"/>
                <w:bCs/>
                <w:sz w:val="20"/>
                <w:szCs w:val="20"/>
                <w:lang w:val="en-US"/>
              </w:rPr>
            </w:pPr>
            <w:r w:rsidRPr="001B3918">
              <w:rPr>
                <w:rFonts w:ascii="Palatino Linotype" w:eastAsia="Times New Roman" w:hAnsi="Palatino Linotype" w:cs="Times New Roman"/>
                <w:bCs/>
                <w:sz w:val="20"/>
                <w:szCs w:val="20"/>
                <w:lang w:val="en-US"/>
              </w:rPr>
              <w:t>Ash content (%)</w:t>
            </w:r>
          </w:p>
        </w:tc>
        <w:tc>
          <w:tcPr>
            <w:tcW w:w="1849" w:type="dxa"/>
            <w:shd w:val="clear" w:color="auto" w:fill="auto"/>
          </w:tcPr>
          <w:p w14:paraId="32BCB7D1" w14:textId="3FC903C9" w:rsidR="001B3918" w:rsidRPr="001B3918" w:rsidRDefault="001B3918" w:rsidP="001B3918">
            <w:pPr>
              <w:spacing w:after="0"/>
              <w:jc w:val="center"/>
              <w:rPr>
                <w:rFonts w:ascii="Palatino Linotype" w:eastAsia="Times New Roman" w:hAnsi="Palatino Linotype" w:cs="Times New Roman"/>
                <w:bCs/>
                <w:color w:val="2E2E2E"/>
                <w:sz w:val="20"/>
                <w:szCs w:val="20"/>
                <w:lang w:val="en-US"/>
              </w:rPr>
            </w:pPr>
            <w:r w:rsidRPr="001B3918">
              <w:rPr>
                <w:rFonts w:ascii="Palatino Linotype" w:eastAsia="Times New Roman" w:hAnsi="Palatino Linotype" w:cs="Times New Roman"/>
                <w:bCs/>
                <w:color w:val="2E2E2E"/>
                <w:sz w:val="20"/>
                <w:szCs w:val="20"/>
                <w:lang w:val="en-US"/>
              </w:rPr>
              <w:t>0.00</w:t>
            </w:r>
          </w:p>
        </w:tc>
      </w:tr>
      <w:tr w:rsidR="001B3918" w14:paraId="5F25B5B9" w14:textId="77777777" w:rsidTr="001B3918">
        <w:trPr>
          <w:jc w:val="center"/>
        </w:trPr>
        <w:tc>
          <w:tcPr>
            <w:tcW w:w="2829" w:type="dxa"/>
            <w:tcBorders>
              <w:top w:val="nil"/>
              <w:left w:val="nil"/>
              <w:bottom w:val="single" w:sz="4" w:space="0" w:color="000000"/>
              <w:right w:val="nil"/>
            </w:tcBorders>
            <w:shd w:val="clear" w:color="auto" w:fill="auto"/>
          </w:tcPr>
          <w:p w14:paraId="3A7143CA" w14:textId="24EEE1AC" w:rsidR="001B3918" w:rsidRPr="001B3918" w:rsidRDefault="001B3918" w:rsidP="001B3918">
            <w:pPr>
              <w:spacing w:after="0"/>
              <w:jc w:val="center"/>
              <w:rPr>
                <w:rFonts w:ascii="Palatino Linotype" w:eastAsia="Times New Roman" w:hAnsi="Palatino Linotype" w:cs="Times New Roman"/>
                <w:bCs/>
                <w:sz w:val="20"/>
                <w:szCs w:val="20"/>
                <w:lang w:val="en-US"/>
              </w:rPr>
            </w:pPr>
            <w:r w:rsidRPr="001B3918">
              <w:rPr>
                <w:rFonts w:ascii="Palatino Linotype" w:eastAsia="Times New Roman" w:hAnsi="Palatino Linotype" w:cs="Times New Roman"/>
                <w:bCs/>
                <w:sz w:val="20"/>
                <w:szCs w:val="20"/>
                <w:lang w:val="en-US"/>
              </w:rPr>
              <w:t>Fixed carbon content (%)</w:t>
            </w:r>
          </w:p>
        </w:tc>
        <w:tc>
          <w:tcPr>
            <w:tcW w:w="1849" w:type="dxa"/>
            <w:tcBorders>
              <w:top w:val="nil"/>
              <w:left w:val="nil"/>
              <w:bottom w:val="single" w:sz="4" w:space="0" w:color="000000"/>
              <w:right w:val="nil"/>
            </w:tcBorders>
            <w:shd w:val="clear" w:color="auto" w:fill="auto"/>
          </w:tcPr>
          <w:p w14:paraId="264278EC" w14:textId="15E60E11" w:rsidR="001B3918" w:rsidRPr="001B3918" w:rsidRDefault="001B3918" w:rsidP="001B3918">
            <w:pPr>
              <w:spacing w:after="0"/>
              <w:jc w:val="center"/>
              <w:rPr>
                <w:rFonts w:ascii="Palatino Linotype" w:eastAsia="Times New Roman" w:hAnsi="Palatino Linotype" w:cs="Times New Roman"/>
                <w:bCs/>
                <w:color w:val="2E2E2E"/>
                <w:sz w:val="20"/>
                <w:szCs w:val="20"/>
                <w:lang w:val="en-US"/>
              </w:rPr>
            </w:pPr>
            <w:r w:rsidRPr="001B3918">
              <w:rPr>
                <w:rFonts w:ascii="Palatino Linotype" w:eastAsia="Times New Roman" w:hAnsi="Palatino Linotype" w:cs="Times New Roman"/>
                <w:bCs/>
                <w:color w:val="2E2E2E"/>
                <w:sz w:val="20"/>
                <w:szCs w:val="20"/>
                <w:lang w:val="en-US"/>
              </w:rPr>
              <w:t>5.90</w:t>
            </w:r>
          </w:p>
        </w:tc>
      </w:tr>
    </w:tbl>
    <w:p w14:paraId="327FA3CF" w14:textId="77777777" w:rsidR="001B3918" w:rsidRDefault="001B3918" w:rsidP="001B3918">
      <w:pPr>
        <w:pStyle w:val="MDPI31text"/>
        <w:ind w:left="0" w:firstLine="0"/>
      </w:pPr>
    </w:p>
    <w:p w14:paraId="44AFA163" w14:textId="77777777" w:rsidR="001B3918" w:rsidRPr="001B3918" w:rsidRDefault="001B3918" w:rsidP="001B3918">
      <w:pPr>
        <w:pStyle w:val="MDPI31text"/>
        <w:ind w:left="0" w:firstLine="0"/>
      </w:pPr>
    </w:p>
    <w:p w14:paraId="4A316C96" w14:textId="5E12E26D" w:rsidR="00B1335E" w:rsidRPr="00B1335E" w:rsidRDefault="00CD5E8A" w:rsidP="00CD5E8A">
      <w:pPr>
        <w:pStyle w:val="MDPI31text"/>
        <w:ind w:left="0" w:firstLine="0"/>
      </w:pPr>
      <w:r>
        <w:t xml:space="preserve">Figure S1 presents the thermograms of the original </w:t>
      </w:r>
      <w:r w:rsidR="00E07929">
        <w:t>MCC</w:t>
      </w:r>
      <w:r>
        <w:t xml:space="preserve"> and one of the prepared </w:t>
      </w:r>
      <w:r w:rsidR="00E07929">
        <w:t xml:space="preserve">NCC, </w:t>
      </w:r>
      <w:r>
        <w:t xml:space="preserve">from the hydrolysis with </w:t>
      </w:r>
      <w:r w:rsidR="00DB3F15">
        <w:t>water</w:t>
      </w:r>
      <w:r>
        <w:t>, 1 mol L</w:t>
      </w:r>
      <w:r w:rsidRPr="00CD5E8A">
        <w:rPr>
          <w:vertAlign w:val="superscript"/>
        </w:rPr>
        <w:sym w:font="Symbol" w:char="F02D"/>
      </w:r>
      <w:r w:rsidRPr="00CD5E8A">
        <w:rPr>
          <w:vertAlign w:val="superscript"/>
        </w:rPr>
        <w:t>1</w:t>
      </w:r>
      <w:r>
        <w:t xml:space="preserve"> PWA</w:t>
      </w:r>
      <w:r w:rsidR="00006893">
        <w:t>)</w:t>
      </w:r>
      <w:r>
        <w:t>. As observed, both materials present similar features. In both cases, an initial decrease in the weight is associated with the moisture release up to 150 °C. Afterward, there is an abrupt weight decrease, beginning earlier in the NC</w:t>
      </w:r>
      <w:r w:rsidR="00370900">
        <w:t>C</w:t>
      </w:r>
      <w:r>
        <w:t xml:space="preserve"> compared to the MC</w:t>
      </w:r>
      <w:r w:rsidR="00370900">
        <w:t>C</w:t>
      </w:r>
      <w:r>
        <w:t xml:space="preserve">, </w:t>
      </w:r>
      <w:r w:rsidR="001B3918">
        <w:t>and</w:t>
      </w:r>
      <w:r>
        <w:t xml:space="preserve"> achieving its maximum rate at 327.5 °C for the N</w:t>
      </w:r>
      <w:r w:rsidR="0063299A">
        <w:t>C</w:t>
      </w:r>
      <w:r>
        <w:t xml:space="preserve">C and 351.0 °C for the </w:t>
      </w:r>
      <w:r w:rsidR="000A4235">
        <w:t>MCC</w:t>
      </w:r>
      <w:r>
        <w:t xml:space="preserve">. This decrease is related to the </w:t>
      </w:r>
      <w:r w:rsidR="00B1335E">
        <w:t xml:space="preserve">cellulose structure's degradation, </w:t>
      </w:r>
      <w:r>
        <w:t>including the</w:t>
      </w:r>
      <w:r w:rsidR="00B1335E">
        <w:t xml:space="preserve"> cellulose structure's ring scission</w:t>
      </w:r>
      <w:r w:rsidR="00FD5E25">
        <w:t xml:space="preserve"> (beginning from the</w:t>
      </w:r>
      <w:r w:rsidR="00FD5E25" w:rsidRPr="00FD5E25">
        <w:t> </w:t>
      </w:r>
      <w:r w:rsidR="00FD5E25" w:rsidRPr="00FD5E25">
        <w:rPr>
          <w:lang w:val="pt-BR"/>
        </w:rPr>
        <w:t>β</w:t>
      </w:r>
      <w:r w:rsidR="00FD5E25" w:rsidRPr="00FD5E25">
        <w:t xml:space="preserve">-1,4 </w:t>
      </w:r>
      <w:r w:rsidR="00FD5E25">
        <w:t>glycosidic bonds)</w:t>
      </w:r>
      <w:r w:rsidR="00B1335E">
        <w:t xml:space="preserve"> and the COO groups' decarboxylation, leading to polymer decomposition </w:t>
      </w:r>
      <w:r w:rsidR="00B1335E">
        <w:fldChar w:fldCharType="begin" w:fldLock="1"/>
      </w:r>
      <w:r w:rsidR="00B1335E">
        <w:instrText>ADDIN CSL_CITATION {"citationItems":[{"id":"ITEM-1","itemData":{"DOI":"10.1038/s41598-020-69521-x","ISSN":"2045-2322","abstract":"A novel polymer host from carboxymethyl cellulose (CMC)/poly( N -isopropylacrylamide) (PNiPAM) was developed for a high safety solid polymer electrolyte (SPE) in a zinc ion battery. Effects of the PNiPAM loading level in the range of 0–40% by weight ( wt%) on the chemical, mechanical, thermal, and morphological properties of the CMC/PNiPAMx films (where x is the wt% of PNiPAM) were symmetrically investigated. The obtained CMC/PNiPAMx films showed a high compatibility between the polymers. The CMC/PNiPAM20 blend showed the greatest tensile strength and modulus at 37.9 MPa and 2.1 GPa, respectively. Moreover, the thermal degradation of CMC was retarded by the addition of PNiPAM. Scanning electron microscopy images of CMC/PNiPAM20 revealed a porous structure that likely supported Zn 2+ movement in the SPEs containing zinc triflate, resulting in the high Zn 2+ ion transference number (0.56) and ionic conductivity (1.68 × 10 –4 S cm −1 ). Interestingly, the presence of PNiPAM in the CMC/PNiPAMx blends showed a greater stability during charge–discharge cyclic tests, indicating the ability of PNiPAM to suppress dendrite formation from causing a short circuit. The developed CMC/PNiPAM20 based SPE is a promising material for high ionic conductivity and stability in a Zn ion battery.","author":[{"dropping-particle":"","family":"Dueramae","given":"Isala","non-dropping-particle":"","parse-names":false,"suffix":""},{"dropping-particle":"","family":"Okhawilai","given":"Manunya","non-dropping-particle":"","parse-names":false,"suffix":""},{"dropping-particle":"","family":"Kasemsiri","given":"Pornnapa","non-dropping-particle":"","parse-names":false,"suffix":""},{"dropping-particle":"","family":"Uyama","given":"Hiroshi","non-dropping-particle":"","parse-names":false,"suffix":""},{"dropping-particle":"","family":"Kita","given":"Rio","non-dropping-particle":"","parse-names":false,"suffix":""}],"container-title":"Scientific Reports","id":"ITEM-1","issue":"1","issued":{"date-parts":[["2020","7","28"]]},"page":"12587-12598","title":"Properties enhancement of carboxymethyl cellulose with thermo-responsive polymer as solid polymer electrolyte for zinc ion battery","type":"article-journal","volume":"10"},"uris":["http://www.mendeley.com/documents/?uuid=5cb0bde7-ae03-4c32-bfb8-137b254bd281"]},{"id":"ITEM-2","itemData":{"DOI":"10.1021/acssuschemeng.5b01620","ISSN":"2168-0485","author":[{"dropping-particle":"","family":"Lu","given":"Qilin","non-dropping-particle":"","parse-names":false,"suffix":""},{"dropping-particle":"","family":"Cai","given":"Zhenghan","non-dropping-particle":"","parse-names":false,"suffix":""},{"dropping-particle":"","family":"Lin","given":"Fengcai","non-dropping-particle":"","parse-names":false,"suffix":""},{"dropping-particle":"","family":"Tang","given":"Lirong","non-dropping-particle":"","parse-names":false,"suffix":""},{"dropping-particle":"","family":"Wang","given":"Siqun","non-dropping-particle":"","parse-names":false,"suffix":""},{"dropping-particle":"","family":"Huang","given":"Biao","non-dropping-particle":"","parse-names":false,"suffix":""}],"container-title":"ACS Sustainable Chemistry &amp; Engineering","id":"ITEM-2","issue":"4","issued":{"date-parts":[["2016","4","4"]]},"page":"2165-2172","title":"Extraction of Cellulose Nanocrystals with a High Yield of 88% by Simultaneous Mechanochemical Activation and Phosphotungstic Acid Hydrolysis","type":"article-journal","volume":"4"},"uris":["http://www.mendeley.com/documents/?uuid=ae730ef3-6584-40bd-b37a-7552a0829f7f"]}],"mendeley":{"formattedCitation":"[1,2]","plainTextFormattedCitation":"[1,2]","previouslyFormattedCitation":"[1]"},"properties":{"noteIndex":0},"schema":"https://github.com/citation-style-language/schema/raw/master/csl-citation.json"}</w:instrText>
      </w:r>
      <w:r w:rsidR="00B1335E">
        <w:fldChar w:fldCharType="separate"/>
      </w:r>
      <w:r w:rsidR="00B1335E" w:rsidRPr="00B1335E">
        <w:rPr>
          <w:noProof/>
        </w:rPr>
        <w:t>[1,2]</w:t>
      </w:r>
      <w:r w:rsidR="00B1335E">
        <w:fldChar w:fldCharType="end"/>
      </w:r>
      <w:r w:rsidR="00B1335E">
        <w:t xml:space="preserve">. The slight drop in thermal stability can be due to the decrease in the crystallinity that can have occurred during the acid hydrolysis. Also, the presence of P and </w:t>
      </w:r>
      <w:proofErr w:type="spellStart"/>
      <w:r w:rsidR="00B1335E">
        <w:t>W on</w:t>
      </w:r>
      <w:proofErr w:type="spellEnd"/>
      <w:r w:rsidR="00B1335E">
        <w:t xml:space="preserve"> the surface of the N</w:t>
      </w:r>
      <w:r w:rsidR="000A4235">
        <w:t>C</w:t>
      </w:r>
      <w:r w:rsidR="00B1335E">
        <w:t>C can catalyze an earlier decomposition.</w:t>
      </w:r>
    </w:p>
    <w:p w14:paraId="313EAD57" w14:textId="77777777" w:rsidR="00CD5E8A" w:rsidRPr="00B1335E" w:rsidRDefault="00CD5E8A" w:rsidP="00CD5E8A">
      <w:pPr>
        <w:rPr>
          <w:lang w:val="en-US" w:eastAsia="de-DE" w:bidi="en-US"/>
        </w:rPr>
      </w:pPr>
    </w:p>
    <w:tbl>
      <w:tblPr>
        <w:tblW w:w="0" w:type="auto"/>
        <w:jc w:val="center"/>
        <w:tblLook w:val="04A0" w:firstRow="1" w:lastRow="0" w:firstColumn="1" w:lastColumn="0" w:noHBand="0" w:noVBand="1"/>
      </w:tblPr>
      <w:tblGrid>
        <w:gridCol w:w="4866"/>
        <w:gridCol w:w="4926"/>
      </w:tblGrid>
      <w:tr w:rsidR="00CD5E8A" w14:paraId="21AAE04F" w14:textId="77777777" w:rsidTr="004D0535">
        <w:trPr>
          <w:jc w:val="center"/>
        </w:trPr>
        <w:tc>
          <w:tcPr>
            <w:tcW w:w="4057" w:type="dxa"/>
            <w:vAlign w:val="center"/>
            <w:hideMark/>
          </w:tcPr>
          <w:p w14:paraId="60C4AE7C" w14:textId="77777777" w:rsidR="00CD5E8A" w:rsidRDefault="00CD5E8A" w:rsidP="004D0535">
            <w:pPr>
              <w:pStyle w:val="MDPI52figure"/>
              <w:spacing w:before="0"/>
            </w:pPr>
            <w:r>
              <w:rPr>
                <w:noProof/>
                <w:lang w:val="pt-BR" w:eastAsia="pt-BR" w:bidi="ar-SA"/>
              </w:rPr>
              <w:drawing>
                <wp:inline distT="0" distB="0" distL="0" distR="0" wp14:anchorId="152B4CE5" wp14:editId="212991C1">
                  <wp:extent cx="2952000" cy="2952000"/>
                  <wp:effectExtent l="0" t="0" r="1270" b="1270"/>
                  <wp:docPr id="379679770" name="Imagem 379679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79770" name="Imagem 379679770"/>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2952000" cy="2952000"/>
                          </a:xfrm>
                          <a:prstGeom prst="rect">
                            <a:avLst/>
                          </a:prstGeom>
                          <a:noFill/>
                          <a:ln>
                            <a:noFill/>
                          </a:ln>
                        </pic:spPr>
                      </pic:pic>
                    </a:graphicData>
                  </a:graphic>
                </wp:inline>
              </w:drawing>
            </w:r>
          </w:p>
        </w:tc>
        <w:tc>
          <w:tcPr>
            <w:tcW w:w="4268" w:type="dxa"/>
            <w:hideMark/>
          </w:tcPr>
          <w:p w14:paraId="7466AA94" w14:textId="77777777" w:rsidR="00CD5E8A" w:rsidRDefault="00CD5E8A" w:rsidP="004D0535">
            <w:pPr>
              <w:pStyle w:val="MDPI52figure"/>
              <w:spacing w:before="0"/>
            </w:pPr>
            <w:r>
              <w:rPr>
                <w:noProof/>
                <w:lang w:val="pt-BR" w:eastAsia="pt-BR" w:bidi="ar-SA"/>
              </w:rPr>
              <w:drawing>
                <wp:inline distT="0" distB="0" distL="0" distR="0" wp14:anchorId="3F60B821" wp14:editId="55297ACF">
                  <wp:extent cx="2988000" cy="2988000"/>
                  <wp:effectExtent l="0" t="0" r="3175" b="3175"/>
                  <wp:docPr id="1406566329" name="Imagem 140656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566329" name="Imagem 1406566329"/>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988000" cy="2988000"/>
                          </a:xfrm>
                          <a:prstGeom prst="rect">
                            <a:avLst/>
                          </a:prstGeom>
                          <a:noFill/>
                          <a:ln>
                            <a:noFill/>
                          </a:ln>
                        </pic:spPr>
                      </pic:pic>
                    </a:graphicData>
                  </a:graphic>
                </wp:inline>
              </w:drawing>
            </w:r>
          </w:p>
        </w:tc>
      </w:tr>
      <w:tr w:rsidR="00CD5E8A" w14:paraId="1EA504D9" w14:textId="77777777" w:rsidTr="004D0535">
        <w:trPr>
          <w:jc w:val="center"/>
        </w:trPr>
        <w:tc>
          <w:tcPr>
            <w:tcW w:w="4057" w:type="dxa"/>
            <w:vAlign w:val="center"/>
            <w:hideMark/>
          </w:tcPr>
          <w:p w14:paraId="336C09F2" w14:textId="77777777" w:rsidR="00CD5E8A" w:rsidRDefault="00CD5E8A" w:rsidP="004D0535">
            <w:pPr>
              <w:pStyle w:val="MDPI42tablebody"/>
            </w:pPr>
            <w:r>
              <w:lastRenderedPageBreak/>
              <w:t>(</w:t>
            </w:r>
            <w:r w:rsidRPr="00E8311E">
              <w:rPr>
                <w:b/>
              </w:rPr>
              <w:t>a</w:t>
            </w:r>
            <w:r>
              <w:t>)</w:t>
            </w:r>
          </w:p>
        </w:tc>
        <w:tc>
          <w:tcPr>
            <w:tcW w:w="4268" w:type="dxa"/>
            <w:hideMark/>
          </w:tcPr>
          <w:p w14:paraId="52C65B2F" w14:textId="77777777" w:rsidR="00CD5E8A" w:rsidRDefault="00CD5E8A" w:rsidP="004D0535">
            <w:pPr>
              <w:pStyle w:val="MDPI42tablebody"/>
            </w:pPr>
            <w:r>
              <w:t>(</w:t>
            </w:r>
            <w:r w:rsidRPr="00E8311E">
              <w:rPr>
                <w:b/>
              </w:rPr>
              <w:t>b</w:t>
            </w:r>
            <w:r>
              <w:t>)</w:t>
            </w:r>
          </w:p>
        </w:tc>
      </w:tr>
    </w:tbl>
    <w:p w14:paraId="3BB7CC74" w14:textId="598DBCE2" w:rsidR="00CD5E8A" w:rsidRPr="00107316" w:rsidRDefault="00CD5E8A" w:rsidP="00B1335E">
      <w:pPr>
        <w:pStyle w:val="MDPI51figurecaption"/>
        <w:ind w:left="0"/>
        <w:jc w:val="center"/>
        <w:rPr>
          <w:bCs/>
          <w:sz w:val="20"/>
        </w:rPr>
      </w:pPr>
      <w:r w:rsidRPr="00B1335E">
        <w:rPr>
          <w:b/>
          <w:sz w:val="20"/>
          <w:szCs w:val="22"/>
        </w:rPr>
        <w:t xml:space="preserve">Figure </w:t>
      </w:r>
      <w:r w:rsidR="00B1335E" w:rsidRPr="00B1335E">
        <w:rPr>
          <w:b/>
          <w:sz w:val="20"/>
          <w:szCs w:val="22"/>
        </w:rPr>
        <w:t>S1.</w:t>
      </w:r>
      <w:r w:rsidR="00B1335E">
        <w:rPr>
          <w:b/>
          <w:sz w:val="20"/>
          <w:szCs w:val="22"/>
        </w:rPr>
        <w:t xml:space="preserve"> </w:t>
      </w:r>
      <w:r w:rsidR="00B1335E" w:rsidRPr="00B1335E">
        <w:rPr>
          <w:bCs/>
          <w:sz w:val="20"/>
          <w:szCs w:val="22"/>
        </w:rPr>
        <w:t xml:space="preserve">(a) Thermogravimetric </w:t>
      </w:r>
      <w:r w:rsidR="00B1335E">
        <w:rPr>
          <w:bCs/>
          <w:sz w:val="20"/>
          <w:szCs w:val="22"/>
        </w:rPr>
        <w:t xml:space="preserve">profiles of the </w:t>
      </w:r>
      <w:r w:rsidR="00756850" w:rsidRPr="00107316">
        <w:rPr>
          <w:bCs/>
          <w:sz w:val="20"/>
        </w:rPr>
        <w:t>MCC and NCC</w:t>
      </w:r>
      <w:r w:rsidR="00B1335E" w:rsidRPr="00107316">
        <w:rPr>
          <w:bCs/>
          <w:sz w:val="20"/>
        </w:rPr>
        <w:t>, and (b) their corresponding weight derivate</w:t>
      </w:r>
    </w:p>
    <w:p w14:paraId="68AF6FB9" w14:textId="77777777" w:rsidR="00706AC1" w:rsidRDefault="00E07929" w:rsidP="00706AC1">
      <w:pPr>
        <w:pStyle w:val="MDPI51figurecaption"/>
        <w:ind w:left="0"/>
        <w:rPr>
          <w:bCs/>
          <w:sz w:val="20"/>
          <w:szCs w:val="22"/>
        </w:rPr>
      </w:pPr>
      <w:r w:rsidRPr="00107316">
        <w:rPr>
          <w:bCs/>
          <w:sz w:val="20"/>
        </w:rPr>
        <w:t xml:space="preserve">Figure S2 shows the diffractograms of the </w:t>
      </w:r>
      <w:r w:rsidR="000A4235" w:rsidRPr="00107316">
        <w:rPr>
          <w:bCs/>
          <w:sz w:val="20"/>
        </w:rPr>
        <w:t>MCC</w:t>
      </w:r>
      <w:r w:rsidR="0082721C" w:rsidRPr="00107316">
        <w:rPr>
          <w:bCs/>
          <w:sz w:val="20"/>
        </w:rPr>
        <w:t xml:space="preserve"> and NCC</w:t>
      </w:r>
      <w:r w:rsidR="00006893" w:rsidRPr="00107316">
        <w:rPr>
          <w:bCs/>
          <w:sz w:val="20"/>
        </w:rPr>
        <w:t xml:space="preserve"> </w:t>
      </w:r>
      <w:r w:rsidR="00107316" w:rsidRPr="00107316">
        <w:rPr>
          <w:bCs/>
          <w:sz w:val="20"/>
        </w:rPr>
        <w:t>(</w:t>
      </w:r>
      <w:r w:rsidR="00107316" w:rsidRPr="00107316">
        <w:rPr>
          <w:sz w:val="20"/>
        </w:rPr>
        <w:t>from the hydrolysis with water, 1 mol L</w:t>
      </w:r>
      <w:r w:rsidR="00107316" w:rsidRPr="00107316">
        <w:rPr>
          <w:sz w:val="20"/>
          <w:vertAlign w:val="superscript"/>
        </w:rPr>
        <w:sym w:font="Symbol" w:char="F02D"/>
      </w:r>
      <w:r w:rsidR="00107316" w:rsidRPr="00107316">
        <w:rPr>
          <w:sz w:val="20"/>
          <w:vertAlign w:val="superscript"/>
        </w:rPr>
        <w:t>1</w:t>
      </w:r>
      <w:r w:rsidR="00107316" w:rsidRPr="00107316">
        <w:rPr>
          <w:sz w:val="20"/>
        </w:rPr>
        <w:t xml:space="preserve"> PWA)</w:t>
      </w:r>
      <w:r w:rsidR="0082721C" w:rsidRPr="00107316">
        <w:rPr>
          <w:bCs/>
          <w:sz w:val="20"/>
        </w:rPr>
        <w:t>. As can be observed, both samples present similar diffraction peaks, indicating the preservation of the basic crystalline structure after the acid hydrolysis. The slight decrease in the intensity may be attributed</w:t>
      </w:r>
      <w:r w:rsidR="0082721C">
        <w:rPr>
          <w:bCs/>
          <w:sz w:val="20"/>
          <w:szCs w:val="22"/>
        </w:rPr>
        <w:t xml:space="preserve"> to the decrease in the extension of the crystalline arrangement due to the transition from a microcrystalline to a nanocrystalline cellulose</w:t>
      </w:r>
      <w:r w:rsidR="00D150CA">
        <w:rPr>
          <w:bCs/>
          <w:sz w:val="20"/>
          <w:szCs w:val="22"/>
        </w:rPr>
        <w:t xml:space="preserve">. </w:t>
      </w:r>
      <w:r w:rsidR="002F2C74">
        <w:rPr>
          <w:bCs/>
          <w:sz w:val="20"/>
          <w:szCs w:val="22"/>
        </w:rPr>
        <w:t xml:space="preserve">No signal of PWA is visible, indicative of the high dispersion of the acid over the entire structure of the NCC. </w:t>
      </w:r>
    </w:p>
    <w:p w14:paraId="0EE5CEC5" w14:textId="77777777" w:rsidR="00610E02" w:rsidRDefault="00610E02" w:rsidP="00610E02">
      <w:pPr>
        <w:jc w:val="center"/>
        <w:rPr>
          <w:lang w:val="en-US" w:eastAsia="de-DE" w:bidi="en-US"/>
        </w:rPr>
      </w:pPr>
      <w:r>
        <w:rPr>
          <w:noProof/>
          <w:lang w:eastAsia="pt-BR"/>
        </w:rPr>
        <w:drawing>
          <wp:inline distT="0" distB="0" distL="0" distR="0" wp14:anchorId="4E76671A" wp14:editId="2F5E3B72">
            <wp:extent cx="4320000" cy="3033120"/>
            <wp:effectExtent l="0" t="0" r="4445" b="0"/>
            <wp:docPr id="1736416431" name="Imagem 1" descr="Gráfico, 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416431" name="Imagem 1" descr="Gráfico, Histograma&#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0" cy="3033120"/>
                    </a:xfrm>
                    <a:prstGeom prst="rect">
                      <a:avLst/>
                    </a:prstGeom>
                    <a:noFill/>
                  </pic:spPr>
                </pic:pic>
              </a:graphicData>
            </a:graphic>
          </wp:inline>
        </w:drawing>
      </w:r>
    </w:p>
    <w:p w14:paraId="213A23A6" w14:textId="77777777" w:rsidR="00610E02" w:rsidRDefault="00610E02" w:rsidP="00610E02">
      <w:pPr>
        <w:pStyle w:val="MDPI51figurecaption"/>
        <w:ind w:left="0"/>
        <w:jc w:val="center"/>
        <w:rPr>
          <w:bCs/>
          <w:sz w:val="20"/>
          <w:szCs w:val="22"/>
        </w:rPr>
      </w:pPr>
      <w:r w:rsidRPr="00B1335E">
        <w:rPr>
          <w:b/>
          <w:sz w:val="20"/>
          <w:szCs w:val="22"/>
        </w:rPr>
        <w:t>Figure S</w:t>
      </w:r>
      <w:r>
        <w:rPr>
          <w:b/>
          <w:sz w:val="20"/>
          <w:szCs w:val="22"/>
        </w:rPr>
        <w:t>2</w:t>
      </w:r>
      <w:r w:rsidRPr="00B1335E">
        <w:rPr>
          <w:b/>
          <w:sz w:val="20"/>
          <w:szCs w:val="22"/>
        </w:rPr>
        <w:t>.</w:t>
      </w:r>
      <w:r>
        <w:rPr>
          <w:b/>
          <w:sz w:val="20"/>
          <w:szCs w:val="22"/>
        </w:rPr>
        <w:t xml:space="preserve"> </w:t>
      </w:r>
      <w:r>
        <w:rPr>
          <w:bCs/>
          <w:sz w:val="20"/>
          <w:szCs w:val="22"/>
        </w:rPr>
        <w:t>Diffractograms of the MCC and NCC samples</w:t>
      </w:r>
    </w:p>
    <w:p w14:paraId="3CFEBB21" w14:textId="7AAA0DCD" w:rsidR="00706AC1" w:rsidRPr="00706AC1" w:rsidRDefault="00706AC1" w:rsidP="00706AC1">
      <w:pPr>
        <w:pStyle w:val="MDPI31text"/>
        <w:ind w:left="0" w:firstLine="0"/>
        <w:rPr>
          <w:bCs/>
        </w:rPr>
      </w:pPr>
      <w:r>
        <w:t>Figure S3 displays the transmission electron micrographs of the samples</w:t>
      </w:r>
      <w:r w:rsidR="005E2ED0">
        <w:t>, MCC and NCC (</w:t>
      </w:r>
      <w:r w:rsidR="005E2ED0" w:rsidRPr="00107316">
        <w:rPr>
          <w:szCs w:val="20"/>
        </w:rPr>
        <w:t>from the hydrolysis with water, 1 mol L</w:t>
      </w:r>
      <w:r w:rsidR="005E2ED0" w:rsidRPr="00107316">
        <w:rPr>
          <w:szCs w:val="20"/>
          <w:vertAlign w:val="superscript"/>
        </w:rPr>
        <w:sym w:font="Symbol" w:char="F02D"/>
      </w:r>
      <w:r w:rsidR="005E2ED0" w:rsidRPr="00107316">
        <w:rPr>
          <w:szCs w:val="20"/>
          <w:vertAlign w:val="superscript"/>
        </w:rPr>
        <w:t>1</w:t>
      </w:r>
      <w:r w:rsidR="005E2ED0" w:rsidRPr="00107316">
        <w:rPr>
          <w:szCs w:val="20"/>
        </w:rPr>
        <w:t xml:space="preserve"> PWA</w:t>
      </w:r>
      <w:r w:rsidR="00CA71DC">
        <w:rPr>
          <w:szCs w:val="20"/>
        </w:rPr>
        <w:t>, lower PWA concentrations led to larger NCC particles</w:t>
      </w:r>
      <w:r w:rsidR="005E2ED0" w:rsidRPr="00107316">
        <w:rPr>
          <w:szCs w:val="20"/>
        </w:rPr>
        <w:t>)</w:t>
      </w:r>
      <w:r>
        <w:t xml:space="preserve">. As can be observed, there is a notable drop in the particle size </w:t>
      </w:r>
      <w:r w:rsidR="00CA71DC">
        <w:t>because</w:t>
      </w:r>
      <w:r>
        <w:t xml:space="preserve"> of the acid hydrolysis to convert the MCC to NCC. Only the nanocrystalline structure remains in the NCC, leading to the smaller particle sizes observed in Fig. S3.</w:t>
      </w:r>
    </w:p>
    <w:p w14:paraId="496D786A" w14:textId="77777777" w:rsidR="008C33CE" w:rsidRPr="00B1335E" w:rsidRDefault="008C33CE" w:rsidP="00E07929">
      <w:pPr>
        <w:pStyle w:val="MDPI51figurecaption"/>
        <w:ind w:left="0"/>
        <w:rPr>
          <w:bCs/>
          <w:sz w:val="20"/>
          <w:szCs w:val="22"/>
        </w:rPr>
      </w:pPr>
    </w:p>
    <w:p w14:paraId="385FD3AB" w14:textId="122811CB" w:rsidR="00DA41B9" w:rsidRDefault="00DA41B9" w:rsidP="00E07929">
      <w:pPr>
        <w:pStyle w:val="MDPI51figurecaption"/>
        <w:ind w:left="0"/>
        <w:jc w:val="center"/>
        <w:rPr>
          <w:bCs/>
          <w:sz w:val="20"/>
          <w:szCs w:val="22"/>
        </w:rPr>
      </w:pPr>
      <w:r>
        <w:rPr>
          <w:bCs/>
          <w:noProof/>
          <w:sz w:val="20"/>
          <w:szCs w:val="22"/>
          <w:lang w:val="pt-BR" w:eastAsia="pt-BR" w:bidi="ar-SA"/>
        </w:rPr>
        <w:drawing>
          <wp:inline distT="0" distB="0" distL="0" distR="0" wp14:anchorId="367960C4" wp14:editId="654BEBD6">
            <wp:extent cx="4824000" cy="2076135"/>
            <wp:effectExtent l="0" t="0" r="0" b="635"/>
            <wp:docPr id="167951326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4000" cy="2076135"/>
                    </a:xfrm>
                    <a:prstGeom prst="rect">
                      <a:avLst/>
                    </a:prstGeom>
                    <a:noFill/>
                  </pic:spPr>
                </pic:pic>
              </a:graphicData>
            </a:graphic>
          </wp:inline>
        </w:drawing>
      </w:r>
    </w:p>
    <w:p w14:paraId="3E48A647" w14:textId="40D277D5" w:rsidR="00DA41B9" w:rsidRDefault="00DA41B9" w:rsidP="00DA41B9">
      <w:pPr>
        <w:pStyle w:val="MDPI51figurecaption"/>
        <w:ind w:left="0"/>
        <w:jc w:val="center"/>
        <w:rPr>
          <w:bCs/>
          <w:sz w:val="20"/>
          <w:szCs w:val="22"/>
        </w:rPr>
      </w:pPr>
      <w:r w:rsidRPr="00B1335E">
        <w:rPr>
          <w:b/>
          <w:sz w:val="20"/>
          <w:szCs w:val="22"/>
        </w:rPr>
        <w:t>Figure S</w:t>
      </w:r>
      <w:r>
        <w:rPr>
          <w:b/>
          <w:sz w:val="20"/>
          <w:szCs w:val="22"/>
        </w:rPr>
        <w:t>3</w:t>
      </w:r>
      <w:r w:rsidRPr="00B1335E">
        <w:rPr>
          <w:b/>
          <w:sz w:val="20"/>
          <w:szCs w:val="22"/>
        </w:rPr>
        <w:t>.</w:t>
      </w:r>
      <w:r>
        <w:rPr>
          <w:b/>
          <w:sz w:val="20"/>
          <w:szCs w:val="22"/>
        </w:rPr>
        <w:t xml:space="preserve"> </w:t>
      </w:r>
      <w:r>
        <w:rPr>
          <w:bCs/>
          <w:sz w:val="20"/>
          <w:szCs w:val="22"/>
        </w:rPr>
        <w:t>TEM images of the MCC and NCC samples</w:t>
      </w:r>
    </w:p>
    <w:p w14:paraId="17AB074B" w14:textId="30C322FC" w:rsidR="00B30AF3" w:rsidRDefault="00F367A0" w:rsidP="00F367A0">
      <w:pPr>
        <w:pStyle w:val="MDPI51figurecaption"/>
        <w:ind w:left="0"/>
        <w:rPr>
          <w:bCs/>
          <w:sz w:val="20"/>
          <w:szCs w:val="22"/>
        </w:rPr>
      </w:pPr>
      <w:r>
        <w:rPr>
          <w:bCs/>
          <w:sz w:val="20"/>
          <w:szCs w:val="22"/>
        </w:rPr>
        <w:t>Figure S4 shows the TEM images of the calcinated samples</w:t>
      </w:r>
      <w:r w:rsidR="00946404">
        <w:rPr>
          <w:bCs/>
          <w:sz w:val="20"/>
          <w:szCs w:val="22"/>
        </w:rPr>
        <w:t xml:space="preserve"> with the different solvents and impregnation time. As observed, in accordance with the XRD results, the sample prepared with ethanol and impregnated for 1 h presents the smallest and mo</w:t>
      </w:r>
      <w:r w:rsidR="006E74DE">
        <w:rPr>
          <w:bCs/>
          <w:sz w:val="20"/>
          <w:szCs w:val="22"/>
        </w:rPr>
        <w:t xml:space="preserve">st </w:t>
      </w:r>
      <w:r w:rsidR="00946404">
        <w:rPr>
          <w:bCs/>
          <w:sz w:val="20"/>
          <w:szCs w:val="22"/>
        </w:rPr>
        <w:t>homogeneous particle sizes and distribution</w:t>
      </w:r>
      <w:r w:rsidR="006E74DE">
        <w:rPr>
          <w:bCs/>
          <w:sz w:val="20"/>
          <w:szCs w:val="22"/>
        </w:rPr>
        <w:t xml:space="preserve"> compared to the other materials.</w:t>
      </w:r>
    </w:p>
    <w:p w14:paraId="3461E210" w14:textId="679DC010" w:rsidR="006745FB" w:rsidRPr="00D43BEE" w:rsidRDefault="006745FB" w:rsidP="00F367A0">
      <w:pPr>
        <w:pStyle w:val="MDPI51figurecaption"/>
        <w:ind w:left="0"/>
        <w:rPr>
          <w:bCs/>
          <w:sz w:val="20"/>
          <w:szCs w:val="22"/>
        </w:rPr>
      </w:pPr>
      <w:r>
        <w:rPr>
          <w:bCs/>
          <w:sz w:val="20"/>
          <w:szCs w:val="22"/>
        </w:rPr>
        <w:lastRenderedPageBreak/>
        <w:t>Figure S5 displays the chronoamperograms of the different materials</w:t>
      </w:r>
      <w:r w:rsidR="00D43BEE">
        <w:rPr>
          <w:bCs/>
          <w:sz w:val="20"/>
          <w:szCs w:val="22"/>
        </w:rPr>
        <w:t xml:space="preserve"> for 30 min</w:t>
      </w:r>
      <w:r w:rsidR="00FC7EF3">
        <w:rPr>
          <w:bCs/>
          <w:sz w:val="20"/>
          <w:szCs w:val="22"/>
        </w:rPr>
        <w:t xml:space="preserve"> at a fixed potential of −0.25 V vs. MMO</w:t>
      </w:r>
      <w:r w:rsidR="00D43BEE">
        <w:rPr>
          <w:bCs/>
          <w:sz w:val="20"/>
          <w:szCs w:val="22"/>
        </w:rPr>
        <w:t xml:space="preserve">. As can be seen, the prepared materials with </w:t>
      </w:r>
      <w:r w:rsidR="007660C8">
        <w:rPr>
          <w:bCs/>
          <w:sz w:val="20"/>
          <w:szCs w:val="22"/>
        </w:rPr>
        <w:t>TO</w:t>
      </w:r>
      <w:r w:rsidR="00D43BEE">
        <w:rPr>
          <w:bCs/>
          <w:sz w:val="20"/>
          <w:szCs w:val="22"/>
        </w:rPr>
        <w:t xml:space="preserve"> and, especially, with </w:t>
      </w:r>
      <w:proofErr w:type="spellStart"/>
      <w:r w:rsidR="000D60ED">
        <w:rPr>
          <w:bCs/>
          <w:sz w:val="20"/>
          <w:szCs w:val="22"/>
        </w:rPr>
        <w:t>NiT</w:t>
      </w:r>
      <w:proofErr w:type="spellEnd"/>
      <w:r w:rsidR="000D60ED">
        <w:rPr>
          <w:bCs/>
          <w:sz w:val="20"/>
          <w:szCs w:val="22"/>
        </w:rPr>
        <w:t>-TO</w:t>
      </w:r>
      <w:r w:rsidR="00D43BEE">
        <w:rPr>
          <w:bCs/>
          <w:sz w:val="20"/>
          <w:szCs w:val="22"/>
        </w:rPr>
        <w:t xml:space="preserve"> </w:t>
      </w:r>
      <w:r w:rsidR="00FC7EF3">
        <w:rPr>
          <w:bCs/>
          <w:sz w:val="20"/>
          <w:szCs w:val="22"/>
        </w:rPr>
        <w:t>display higher current densities as a result of the positive effect of these species in terms of alleviating the accumulation of adsorbed carbonaceous residues during the ethanol and glycerol electro-oxidation.</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B30AF3" w14:paraId="13BB56C6" w14:textId="77777777" w:rsidTr="00B30AF3">
        <w:tc>
          <w:tcPr>
            <w:tcW w:w="5228" w:type="dxa"/>
          </w:tcPr>
          <w:p w14:paraId="37CB472F" w14:textId="77777777" w:rsidR="00B30AF3" w:rsidRDefault="00B30AF3" w:rsidP="00E07929">
            <w:pPr>
              <w:pStyle w:val="MDPI51figurecaption"/>
              <w:ind w:left="0"/>
              <w:jc w:val="center"/>
              <w:rPr>
                <w:bCs/>
                <w:sz w:val="20"/>
                <w:szCs w:val="22"/>
              </w:rPr>
            </w:pPr>
            <w:r>
              <w:rPr>
                <w:noProof/>
                <w:lang w:val="pt-BR" w:eastAsia="pt-BR" w:bidi="ar-SA"/>
              </w:rPr>
              <w:drawing>
                <wp:inline distT="0" distB="0" distL="0" distR="0" wp14:anchorId="036CFD25" wp14:editId="16BCDA79">
                  <wp:extent cx="3060000" cy="3060000"/>
                  <wp:effectExtent l="0" t="0" r="7620" b="7620"/>
                  <wp:docPr id="54940169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0000" cy="3060000"/>
                          </a:xfrm>
                          <a:prstGeom prst="rect">
                            <a:avLst/>
                          </a:prstGeom>
                          <a:noFill/>
                          <a:ln>
                            <a:noFill/>
                          </a:ln>
                        </pic:spPr>
                      </pic:pic>
                    </a:graphicData>
                  </a:graphic>
                </wp:inline>
              </w:drawing>
            </w:r>
          </w:p>
          <w:p w14:paraId="15C02C58" w14:textId="3C7341C8" w:rsidR="00B30AF3" w:rsidRDefault="00B30AF3" w:rsidP="00E07929">
            <w:pPr>
              <w:pStyle w:val="MDPI51figurecaption"/>
              <w:ind w:left="0"/>
              <w:jc w:val="center"/>
              <w:rPr>
                <w:bCs/>
                <w:sz w:val="20"/>
                <w:szCs w:val="22"/>
              </w:rPr>
            </w:pPr>
            <w:r>
              <w:rPr>
                <w:bCs/>
                <w:sz w:val="20"/>
                <w:szCs w:val="22"/>
              </w:rPr>
              <w:t>E1</w:t>
            </w:r>
          </w:p>
        </w:tc>
        <w:tc>
          <w:tcPr>
            <w:tcW w:w="5228" w:type="dxa"/>
          </w:tcPr>
          <w:p w14:paraId="5F24A607" w14:textId="77777777" w:rsidR="00B30AF3" w:rsidRDefault="00B30AF3" w:rsidP="00E07929">
            <w:pPr>
              <w:pStyle w:val="MDPI51figurecaption"/>
              <w:ind w:left="0"/>
              <w:jc w:val="center"/>
              <w:rPr>
                <w:bCs/>
                <w:sz w:val="20"/>
                <w:szCs w:val="22"/>
              </w:rPr>
            </w:pPr>
            <w:r>
              <w:rPr>
                <w:noProof/>
                <w:lang w:val="pt-BR" w:eastAsia="pt-BR" w:bidi="ar-SA"/>
              </w:rPr>
              <w:drawing>
                <wp:inline distT="0" distB="0" distL="0" distR="0" wp14:anchorId="46C79E5E" wp14:editId="2F20C1F0">
                  <wp:extent cx="3060000" cy="3060000"/>
                  <wp:effectExtent l="0" t="0" r="7620" b="7620"/>
                  <wp:docPr id="57712883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0000" cy="3060000"/>
                          </a:xfrm>
                          <a:prstGeom prst="rect">
                            <a:avLst/>
                          </a:prstGeom>
                          <a:noFill/>
                          <a:ln>
                            <a:noFill/>
                          </a:ln>
                        </pic:spPr>
                      </pic:pic>
                    </a:graphicData>
                  </a:graphic>
                </wp:inline>
              </w:drawing>
            </w:r>
          </w:p>
          <w:p w14:paraId="0871E06C" w14:textId="1B41898B" w:rsidR="00B30AF3" w:rsidRDefault="00B30AF3" w:rsidP="00E07929">
            <w:pPr>
              <w:pStyle w:val="MDPI51figurecaption"/>
              <w:ind w:left="0"/>
              <w:jc w:val="center"/>
              <w:rPr>
                <w:bCs/>
                <w:sz w:val="20"/>
                <w:szCs w:val="22"/>
              </w:rPr>
            </w:pPr>
            <w:r>
              <w:rPr>
                <w:bCs/>
                <w:sz w:val="20"/>
                <w:szCs w:val="22"/>
              </w:rPr>
              <w:t>W1</w:t>
            </w:r>
          </w:p>
        </w:tc>
      </w:tr>
      <w:tr w:rsidR="00B30AF3" w14:paraId="5C069B72" w14:textId="77777777" w:rsidTr="00B30AF3">
        <w:tc>
          <w:tcPr>
            <w:tcW w:w="5228" w:type="dxa"/>
          </w:tcPr>
          <w:p w14:paraId="2A19CF62" w14:textId="77777777" w:rsidR="00B30AF3" w:rsidRDefault="00B30AF3" w:rsidP="00E07929">
            <w:pPr>
              <w:pStyle w:val="MDPI51figurecaption"/>
              <w:ind w:left="0"/>
              <w:jc w:val="center"/>
              <w:rPr>
                <w:bCs/>
                <w:sz w:val="20"/>
                <w:szCs w:val="22"/>
              </w:rPr>
            </w:pPr>
            <w:r>
              <w:rPr>
                <w:noProof/>
                <w:lang w:val="pt-BR" w:eastAsia="pt-BR" w:bidi="ar-SA"/>
              </w:rPr>
              <w:drawing>
                <wp:inline distT="0" distB="0" distL="0" distR="0" wp14:anchorId="07607F9C" wp14:editId="1E7CA709">
                  <wp:extent cx="3060000" cy="3060000"/>
                  <wp:effectExtent l="0" t="0" r="7620" b="7620"/>
                  <wp:docPr id="163398254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0000" cy="3060000"/>
                          </a:xfrm>
                          <a:prstGeom prst="rect">
                            <a:avLst/>
                          </a:prstGeom>
                          <a:noFill/>
                          <a:ln>
                            <a:noFill/>
                          </a:ln>
                        </pic:spPr>
                      </pic:pic>
                    </a:graphicData>
                  </a:graphic>
                </wp:inline>
              </w:drawing>
            </w:r>
          </w:p>
          <w:p w14:paraId="14FCB72A" w14:textId="16577A90" w:rsidR="00B30AF3" w:rsidRDefault="00B30AF3" w:rsidP="00E07929">
            <w:pPr>
              <w:pStyle w:val="MDPI51figurecaption"/>
              <w:ind w:left="0"/>
              <w:jc w:val="center"/>
              <w:rPr>
                <w:bCs/>
                <w:sz w:val="20"/>
                <w:szCs w:val="22"/>
              </w:rPr>
            </w:pPr>
            <w:r>
              <w:rPr>
                <w:bCs/>
                <w:sz w:val="20"/>
                <w:szCs w:val="22"/>
              </w:rPr>
              <w:t>E6</w:t>
            </w:r>
          </w:p>
        </w:tc>
        <w:tc>
          <w:tcPr>
            <w:tcW w:w="5228" w:type="dxa"/>
          </w:tcPr>
          <w:p w14:paraId="1CF3AECB" w14:textId="77777777" w:rsidR="00B30AF3" w:rsidRDefault="00B30AF3" w:rsidP="00E07929">
            <w:pPr>
              <w:pStyle w:val="MDPI51figurecaption"/>
              <w:ind w:left="0"/>
              <w:jc w:val="center"/>
              <w:rPr>
                <w:bCs/>
                <w:sz w:val="20"/>
                <w:szCs w:val="22"/>
              </w:rPr>
            </w:pPr>
            <w:r>
              <w:rPr>
                <w:noProof/>
                <w:lang w:val="pt-BR" w:eastAsia="pt-BR" w:bidi="ar-SA"/>
              </w:rPr>
              <w:drawing>
                <wp:inline distT="0" distB="0" distL="0" distR="0" wp14:anchorId="278E6EA1" wp14:editId="312D351B">
                  <wp:extent cx="3060000" cy="3060000"/>
                  <wp:effectExtent l="0" t="0" r="7620" b="7620"/>
                  <wp:docPr id="201590393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0000" cy="3060000"/>
                          </a:xfrm>
                          <a:prstGeom prst="rect">
                            <a:avLst/>
                          </a:prstGeom>
                          <a:noFill/>
                          <a:ln>
                            <a:noFill/>
                          </a:ln>
                        </pic:spPr>
                      </pic:pic>
                    </a:graphicData>
                  </a:graphic>
                </wp:inline>
              </w:drawing>
            </w:r>
          </w:p>
          <w:p w14:paraId="3E0B8BFF" w14:textId="562311DE" w:rsidR="00F367A0" w:rsidRDefault="00F367A0" w:rsidP="00E07929">
            <w:pPr>
              <w:pStyle w:val="MDPI51figurecaption"/>
              <w:ind w:left="0"/>
              <w:jc w:val="center"/>
              <w:rPr>
                <w:bCs/>
                <w:sz w:val="20"/>
                <w:szCs w:val="22"/>
              </w:rPr>
            </w:pPr>
            <w:r>
              <w:rPr>
                <w:bCs/>
                <w:sz w:val="20"/>
                <w:szCs w:val="22"/>
              </w:rPr>
              <w:t>W6</w:t>
            </w:r>
          </w:p>
        </w:tc>
      </w:tr>
    </w:tbl>
    <w:p w14:paraId="784F586A" w14:textId="72A68149" w:rsidR="006745FB" w:rsidRDefault="006745FB" w:rsidP="006745FB">
      <w:pPr>
        <w:pStyle w:val="MDPI51figurecaption"/>
        <w:ind w:left="0"/>
        <w:jc w:val="center"/>
        <w:rPr>
          <w:bCs/>
          <w:sz w:val="20"/>
          <w:szCs w:val="22"/>
        </w:rPr>
      </w:pPr>
      <w:r w:rsidRPr="00B1335E">
        <w:rPr>
          <w:b/>
          <w:sz w:val="20"/>
          <w:szCs w:val="22"/>
        </w:rPr>
        <w:t>Figure S</w:t>
      </w:r>
      <w:r>
        <w:rPr>
          <w:b/>
          <w:sz w:val="20"/>
          <w:szCs w:val="22"/>
        </w:rPr>
        <w:t>4</w:t>
      </w:r>
      <w:r w:rsidRPr="00B1335E">
        <w:rPr>
          <w:b/>
          <w:sz w:val="20"/>
          <w:szCs w:val="22"/>
        </w:rPr>
        <w:t>.</w:t>
      </w:r>
      <w:r>
        <w:rPr>
          <w:b/>
          <w:sz w:val="20"/>
          <w:szCs w:val="22"/>
        </w:rPr>
        <w:t xml:space="preserve"> </w:t>
      </w:r>
      <w:r>
        <w:rPr>
          <w:bCs/>
          <w:sz w:val="20"/>
          <w:szCs w:val="22"/>
        </w:rPr>
        <w:t xml:space="preserve">TEM images of the resulting </w:t>
      </w:r>
      <w:proofErr w:type="spellStart"/>
      <w:r>
        <w:rPr>
          <w:bCs/>
          <w:sz w:val="20"/>
          <w:szCs w:val="22"/>
        </w:rPr>
        <w:t>Ni</w:t>
      </w:r>
      <w:r w:rsidR="007660C8">
        <w:rPr>
          <w:bCs/>
          <w:sz w:val="20"/>
          <w:szCs w:val="22"/>
        </w:rPr>
        <w:t>T</w:t>
      </w:r>
      <w:proofErr w:type="spellEnd"/>
      <w:r>
        <w:rPr>
          <w:bCs/>
          <w:sz w:val="20"/>
          <w:szCs w:val="22"/>
        </w:rPr>
        <w:t xml:space="preserve"> materials after the thermal treatment of the NCC as a function of the solvent and impregnation treatment time.</w:t>
      </w:r>
    </w:p>
    <w:tbl>
      <w:tblPr>
        <w:tblW w:w="0" w:type="auto"/>
        <w:jc w:val="center"/>
        <w:tblLook w:val="04A0" w:firstRow="1" w:lastRow="0" w:firstColumn="1" w:lastColumn="0" w:noHBand="0" w:noVBand="1"/>
      </w:tblPr>
      <w:tblGrid>
        <w:gridCol w:w="5046"/>
        <w:gridCol w:w="5046"/>
      </w:tblGrid>
      <w:tr w:rsidR="00D43BEE" w14:paraId="0EE2E5E2" w14:textId="77777777" w:rsidTr="007028FC">
        <w:trPr>
          <w:jc w:val="center"/>
        </w:trPr>
        <w:tc>
          <w:tcPr>
            <w:tcW w:w="4057" w:type="dxa"/>
            <w:vAlign w:val="center"/>
            <w:hideMark/>
          </w:tcPr>
          <w:p w14:paraId="250A1302" w14:textId="77777777" w:rsidR="00D43BEE" w:rsidRDefault="00D43BEE" w:rsidP="007028FC">
            <w:pPr>
              <w:pStyle w:val="MDPI52figure"/>
              <w:spacing w:before="0"/>
            </w:pPr>
            <w:r>
              <w:rPr>
                <w:noProof/>
                <w:lang w:val="pt-BR" w:eastAsia="pt-BR" w:bidi="ar-SA"/>
              </w:rPr>
              <w:lastRenderedPageBreak/>
              <w:drawing>
                <wp:inline distT="0" distB="0" distL="0" distR="0" wp14:anchorId="51049E55" wp14:editId="2A6F5E27">
                  <wp:extent cx="3060000" cy="3060000"/>
                  <wp:effectExtent l="0" t="0" r="7620" b="7620"/>
                  <wp:docPr id="1372577080" name="Imagem 1372577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577080" name="Imagem 137257708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060000" cy="3060000"/>
                          </a:xfrm>
                          <a:prstGeom prst="rect">
                            <a:avLst/>
                          </a:prstGeom>
                          <a:noFill/>
                          <a:ln>
                            <a:noFill/>
                          </a:ln>
                        </pic:spPr>
                      </pic:pic>
                    </a:graphicData>
                  </a:graphic>
                </wp:inline>
              </w:drawing>
            </w:r>
          </w:p>
        </w:tc>
        <w:tc>
          <w:tcPr>
            <w:tcW w:w="4268" w:type="dxa"/>
            <w:hideMark/>
          </w:tcPr>
          <w:p w14:paraId="0E87E82E" w14:textId="77777777" w:rsidR="00D43BEE" w:rsidRDefault="00D43BEE" w:rsidP="007028FC">
            <w:pPr>
              <w:pStyle w:val="MDPI52figure"/>
              <w:spacing w:before="0"/>
            </w:pPr>
            <w:r>
              <w:rPr>
                <w:noProof/>
                <w:lang w:val="pt-BR" w:eastAsia="pt-BR" w:bidi="ar-SA"/>
              </w:rPr>
              <w:drawing>
                <wp:inline distT="0" distB="0" distL="0" distR="0" wp14:anchorId="2662B780" wp14:editId="4D1B4693">
                  <wp:extent cx="3060000" cy="3060000"/>
                  <wp:effectExtent l="0" t="0" r="7620" b="7620"/>
                  <wp:docPr id="1980469783" name="Imagem 1980469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469783" name="Imagem 198046978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060000" cy="3060000"/>
                          </a:xfrm>
                          <a:prstGeom prst="rect">
                            <a:avLst/>
                          </a:prstGeom>
                          <a:noFill/>
                          <a:ln>
                            <a:noFill/>
                          </a:ln>
                        </pic:spPr>
                      </pic:pic>
                    </a:graphicData>
                  </a:graphic>
                </wp:inline>
              </w:drawing>
            </w:r>
          </w:p>
        </w:tc>
      </w:tr>
      <w:tr w:rsidR="00D43BEE" w14:paraId="61F8EBF2" w14:textId="77777777" w:rsidTr="007028FC">
        <w:trPr>
          <w:jc w:val="center"/>
        </w:trPr>
        <w:tc>
          <w:tcPr>
            <w:tcW w:w="4057" w:type="dxa"/>
            <w:vAlign w:val="center"/>
            <w:hideMark/>
          </w:tcPr>
          <w:p w14:paraId="3199D948" w14:textId="77777777" w:rsidR="00D43BEE" w:rsidRDefault="00D43BEE" w:rsidP="007028FC">
            <w:pPr>
              <w:pStyle w:val="MDPI42tablebody"/>
            </w:pPr>
            <w:r>
              <w:t>(</w:t>
            </w:r>
            <w:r w:rsidRPr="00E8311E">
              <w:rPr>
                <w:b/>
              </w:rPr>
              <w:t>a</w:t>
            </w:r>
            <w:r>
              <w:t>)</w:t>
            </w:r>
          </w:p>
        </w:tc>
        <w:tc>
          <w:tcPr>
            <w:tcW w:w="4268" w:type="dxa"/>
            <w:hideMark/>
          </w:tcPr>
          <w:p w14:paraId="76317240" w14:textId="77777777" w:rsidR="00D43BEE" w:rsidRDefault="00D43BEE" w:rsidP="007028FC">
            <w:pPr>
              <w:pStyle w:val="MDPI42tablebody"/>
            </w:pPr>
            <w:r>
              <w:t>(</w:t>
            </w:r>
            <w:r w:rsidRPr="00E8311E">
              <w:rPr>
                <w:b/>
              </w:rPr>
              <w:t>b</w:t>
            </w:r>
            <w:r>
              <w:t>)</w:t>
            </w:r>
          </w:p>
        </w:tc>
      </w:tr>
    </w:tbl>
    <w:p w14:paraId="7510AE57" w14:textId="36F409A0" w:rsidR="00512494" w:rsidRPr="00037FC5" w:rsidRDefault="00D43BEE" w:rsidP="00037FC5">
      <w:pPr>
        <w:pStyle w:val="MDPI51figurecaption"/>
        <w:ind w:left="0"/>
        <w:jc w:val="center"/>
        <w:rPr>
          <w:bCs/>
          <w:sz w:val="20"/>
        </w:rPr>
      </w:pPr>
      <w:r w:rsidRPr="00B1335E">
        <w:rPr>
          <w:b/>
          <w:sz w:val="20"/>
          <w:szCs w:val="22"/>
        </w:rPr>
        <w:t>Figure S</w:t>
      </w:r>
      <w:r>
        <w:rPr>
          <w:b/>
          <w:sz w:val="20"/>
          <w:szCs w:val="22"/>
        </w:rPr>
        <w:t>5</w:t>
      </w:r>
      <w:r w:rsidRPr="00B1335E">
        <w:rPr>
          <w:b/>
          <w:sz w:val="20"/>
          <w:szCs w:val="22"/>
        </w:rPr>
        <w:t>.</w:t>
      </w:r>
      <w:r>
        <w:rPr>
          <w:b/>
          <w:sz w:val="20"/>
          <w:szCs w:val="22"/>
        </w:rPr>
        <w:t xml:space="preserve"> </w:t>
      </w:r>
      <w:r>
        <w:rPr>
          <w:bCs/>
          <w:sz w:val="20"/>
          <w:szCs w:val="22"/>
        </w:rPr>
        <w:t>Chronoamperometry profiles of the different materials for</w:t>
      </w:r>
      <w:r w:rsidR="00791568">
        <w:rPr>
          <w:bCs/>
          <w:sz w:val="20"/>
          <w:szCs w:val="22"/>
        </w:rPr>
        <w:t xml:space="preserve"> </w:t>
      </w:r>
      <w:r w:rsidR="00791568">
        <w:t>in 1 mol L</w:t>
      </w:r>
      <w:r w:rsidR="00791568">
        <w:rPr>
          <w:vertAlign w:val="superscript"/>
        </w:rPr>
        <w:sym w:font="Symbol" w:char="F02D"/>
      </w:r>
      <w:r w:rsidR="00791568">
        <w:rPr>
          <w:vertAlign w:val="superscript"/>
        </w:rPr>
        <w:t>1</w:t>
      </w:r>
      <w:r w:rsidR="00791568">
        <w:t xml:space="preserve"> alcohol and in 1 mol L</w:t>
      </w:r>
      <w:r w:rsidR="00791568">
        <w:rPr>
          <w:vertAlign w:val="superscript"/>
        </w:rPr>
        <w:sym w:font="Symbol" w:char="F02D"/>
      </w:r>
      <w:r w:rsidR="00791568">
        <w:rPr>
          <w:vertAlign w:val="superscript"/>
        </w:rPr>
        <w:t>1</w:t>
      </w:r>
      <w:r w:rsidR="00791568">
        <w:t xml:space="preserve"> KOH</w:t>
      </w:r>
      <w:r>
        <w:rPr>
          <w:bCs/>
          <w:sz w:val="20"/>
          <w:szCs w:val="22"/>
        </w:rPr>
        <w:t xml:space="preserve"> </w:t>
      </w:r>
      <w:r w:rsidRPr="00B1335E">
        <w:rPr>
          <w:bCs/>
          <w:sz w:val="20"/>
          <w:szCs w:val="22"/>
        </w:rPr>
        <w:t xml:space="preserve">(a) </w:t>
      </w:r>
      <w:r w:rsidR="00791568">
        <w:rPr>
          <w:bCs/>
          <w:sz w:val="20"/>
          <w:szCs w:val="22"/>
        </w:rPr>
        <w:t>ethanol electro-oxidation</w:t>
      </w:r>
      <w:r w:rsidRPr="00107316">
        <w:rPr>
          <w:bCs/>
          <w:sz w:val="20"/>
        </w:rPr>
        <w:t xml:space="preserve"> (b) </w:t>
      </w:r>
      <w:r w:rsidR="00791568">
        <w:rPr>
          <w:bCs/>
          <w:sz w:val="20"/>
        </w:rPr>
        <w:t>glycerol electro-oxidation at a potential of −0.25 V vs. MMO</w:t>
      </w:r>
      <w:r w:rsidR="00037FC5">
        <w:rPr>
          <w:bCs/>
          <w:sz w:val="20"/>
        </w:rPr>
        <w:t>.</w:t>
      </w:r>
    </w:p>
    <w:p w14:paraId="6E257157" w14:textId="77777777" w:rsidR="00DA41B9" w:rsidRPr="00B1335E" w:rsidRDefault="00DA41B9" w:rsidP="00E07929">
      <w:pPr>
        <w:pStyle w:val="MDPI51figurecaption"/>
        <w:ind w:left="0"/>
        <w:jc w:val="center"/>
        <w:rPr>
          <w:bCs/>
          <w:sz w:val="20"/>
          <w:szCs w:val="22"/>
        </w:rPr>
      </w:pPr>
    </w:p>
    <w:p w14:paraId="1768E433" w14:textId="77777777" w:rsidR="00E07929" w:rsidRPr="00E07929" w:rsidRDefault="00E07929" w:rsidP="00E07929">
      <w:pPr>
        <w:jc w:val="center"/>
        <w:rPr>
          <w:lang w:val="en-US" w:eastAsia="de-DE" w:bidi="en-US"/>
        </w:rPr>
      </w:pPr>
    </w:p>
    <w:sectPr w:rsidR="00E07929" w:rsidRPr="00E07929" w:rsidSect="00CD5E8A">
      <w:pgSz w:w="11906" w:h="16838"/>
      <w:pgMar w:top="1418" w:right="720" w:bottom="107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A62CA1"/>
    <w:multiLevelType w:val="hybridMultilevel"/>
    <w:tmpl w:val="CBBEAF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TAxMzC3MDA2tjA1tjRR0lEKTi0uzszPAykwNKkFADmCxKotAAAA"/>
  </w:docVars>
  <w:rsids>
    <w:rsidRoot w:val="00DF3D1F"/>
    <w:rsid w:val="00006893"/>
    <w:rsid w:val="00037FC5"/>
    <w:rsid w:val="000A4235"/>
    <w:rsid w:val="000D60ED"/>
    <w:rsid w:val="000F252F"/>
    <w:rsid w:val="00107316"/>
    <w:rsid w:val="00107EFE"/>
    <w:rsid w:val="001A3BCD"/>
    <w:rsid w:val="001B3918"/>
    <w:rsid w:val="001F27DA"/>
    <w:rsid w:val="002955FA"/>
    <w:rsid w:val="002F2C74"/>
    <w:rsid w:val="00325750"/>
    <w:rsid w:val="0036134A"/>
    <w:rsid w:val="00370900"/>
    <w:rsid w:val="00435D1C"/>
    <w:rsid w:val="004412E9"/>
    <w:rsid w:val="00482CBF"/>
    <w:rsid w:val="00507A2A"/>
    <w:rsid w:val="00512494"/>
    <w:rsid w:val="005135D9"/>
    <w:rsid w:val="00522F57"/>
    <w:rsid w:val="005313BD"/>
    <w:rsid w:val="00581FD5"/>
    <w:rsid w:val="005A136A"/>
    <w:rsid w:val="005E2ED0"/>
    <w:rsid w:val="00601601"/>
    <w:rsid w:val="00601B7B"/>
    <w:rsid w:val="00610E02"/>
    <w:rsid w:val="00624562"/>
    <w:rsid w:val="0063299A"/>
    <w:rsid w:val="00642B40"/>
    <w:rsid w:val="006745FB"/>
    <w:rsid w:val="006D6745"/>
    <w:rsid w:val="006E74DE"/>
    <w:rsid w:val="006F24CB"/>
    <w:rsid w:val="00706AC1"/>
    <w:rsid w:val="00732FFF"/>
    <w:rsid w:val="00756850"/>
    <w:rsid w:val="007660C8"/>
    <w:rsid w:val="00780B6A"/>
    <w:rsid w:val="00784B87"/>
    <w:rsid w:val="00791568"/>
    <w:rsid w:val="007C7F2C"/>
    <w:rsid w:val="0082721C"/>
    <w:rsid w:val="008428B6"/>
    <w:rsid w:val="00847374"/>
    <w:rsid w:val="008C33CE"/>
    <w:rsid w:val="008F1789"/>
    <w:rsid w:val="00946404"/>
    <w:rsid w:val="00950A5D"/>
    <w:rsid w:val="009B1B34"/>
    <w:rsid w:val="00A35471"/>
    <w:rsid w:val="00A37448"/>
    <w:rsid w:val="00B1335E"/>
    <w:rsid w:val="00B30AF3"/>
    <w:rsid w:val="00B34F1C"/>
    <w:rsid w:val="00B46917"/>
    <w:rsid w:val="00BF1E7C"/>
    <w:rsid w:val="00BF32EE"/>
    <w:rsid w:val="00BF3852"/>
    <w:rsid w:val="00BF7ECC"/>
    <w:rsid w:val="00C04F1E"/>
    <w:rsid w:val="00CA71DC"/>
    <w:rsid w:val="00CB3028"/>
    <w:rsid w:val="00CD5E8A"/>
    <w:rsid w:val="00CF17F2"/>
    <w:rsid w:val="00CF2895"/>
    <w:rsid w:val="00D150CA"/>
    <w:rsid w:val="00D43BEE"/>
    <w:rsid w:val="00DA41B9"/>
    <w:rsid w:val="00DB3F15"/>
    <w:rsid w:val="00DF3D1F"/>
    <w:rsid w:val="00E07929"/>
    <w:rsid w:val="00E86D1B"/>
    <w:rsid w:val="00F367A0"/>
    <w:rsid w:val="00FC7EF3"/>
    <w:rsid w:val="00FD5E25"/>
    <w:rsid w:val="00FF725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F930A"/>
  <w15:chartTrackingRefBased/>
  <w15:docId w15:val="{4B7EF954-0A7B-4D2E-B5CF-D8BB38891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MDPI51figurecaption">
    <w:name w:val="MDPI_5.1_figure_caption"/>
    <w:qFormat/>
    <w:rsid w:val="00BF7ECC"/>
    <w:pPr>
      <w:adjustRightInd w:val="0"/>
      <w:snapToGrid w:val="0"/>
      <w:spacing w:before="120" w:after="240" w:line="228" w:lineRule="auto"/>
      <w:ind w:left="2608"/>
      <w:jc w:val="both"/>
    </w:pPr>
    <w:rPr>
      <w:rFonts w:ascii="Palatino Linotype" w:eastAsia="Times New Roman" w:hAnsi="Palatino Linotype" w:cs="Times New Roman"/>
      <w:color w:val="000000"/>
      <w:kern w:val="0"/>
      <w:sz w:val="18"/>
      <w:szCs w:val="20"/>
      <w:lang w:val="en-US" w:eastAsia="de-DE" w:bidi="en-US"/>
      <w14:ligatures w14:val="none"/>
    </w:rPr>
  </w:style>
  <w:style w:type="paragraph" w:customStyle="1" w:styleId="MDPI52figure">
    <w:name w:val="MDPI_5.2_figure"/>
    <w:qFormat/>
    <w:rsid w:val="00BF7ECC"/>
    <w:pPr>
      <w:adjustRightInd w:val="0"/>
      <w:snapToGrid w:val="0"/>
      <w:spacing w:before="240" w:after="120" w:line="240" w:lineRule="auto"/>
      <w:jc w:val="center"/>
    </w:pPr>
    <w:rPr>
      <w:rFonts w:ascii="Palatino Linotype" w:eastAsia="Times New Roman" w:hAnsi="Palatino Linotype" w:cs="Times New Roman"/>
      <w:snapToGrid w:val="0"/>
      <w:color w:val="000000"/>
      <w:kern w:val="0"/>
      <w:sz w:val="20"/>
      <w:szCs w:val="20"/>
      <w:lang w:val="en-US" w:eastAsia="de-DE" w:bidi="en-US"/>
      <w14:ligatures w14:val="none"/>
    </w:rPr>
  </w:style>
  <w:style w:type="paragraph" w:customStyle="1" w:styleId="MDPI12title">
    <w:name w:val="MDPI_1.2_title"/>
    <w:next w:val="Normal"/>
    <w:qFormat/>
    <w:rsid w:val="00581FD5"/>
    <w:pPr>
      <w:adjustRightInd w:val="0"/>
      <w:snapToGrid w:val="0"/>
      <w:spacing w:after="240" w:line="240" w:lineRule="atLeast"/>
    </w:pPr>
    <w:rPr>
      <w:rFonts w:ascii="Palatino Linotype" w:eastAsia="Times New Roman" w:hAnsi="Palatino Linotype" w:cs="Times New Roman"/>
      <w:b/>
      <w:snapToGrid w:val="0"/>
      <w:color w:val="000000"/>
      <w:kern w:val="0"/>
      <w:sz w:val="36"/>
      <w:szCs w:val="20"/>
      <w:lang w:val="en-US" w:eastAsia="de-DE" w:bidi="en-US"/>
      <w14:ligatures w14:val="none"/>
    </w:rPr>
  </w:style>
  <w:style w:type="paragraph" w:customStyle="1" w:styleId="MDPI13authornames">
    <w:name w:val="MDPI_1.3_authornames"/>
    <w:next w:val="Normal"/>
    <w:qFormat/>
    <w:rsid w:val="00581FD5"/>
    <w:pPr>
      <w:adjustRightInd w:val="0"/>
      <w:snapToGrid w:val="0"/>
      <w:spacing w:after="360" w:line="260" w:lineRule="atLeast"/>
    </w:pPr>
    <w:rPr>
      <w:rFonts w:ascii="Palatino Linotype" w:eastAsia="Times New Roman" w:hAnsi="Palatino Linotype" w:cs="Times New Roman"/>
      <w:b/>
      <w:color w:val="000000"/>
      <w:kern w:val="0"/>
      <w:sz w:val="20"/>
      <w:lang w:val="en-US" w:eastAsia="de-DE" w:bidi="en-US"/>
      <w14:ligatures w14:val="none"/>
    </w:rPr>
  </w:style>
  <w:style w:type="paragraph" w:customStyle="1" w:styleId="MDPI21heading1">
    <w:name w:val="MDPI_2.1_heading1"/>
    <w:qFormat/>
    <w:rsid w:val="004412E9"/>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kern w:val="0"/>
      <w:sz w:val="20"/>
      <w:lang w:val="en-US" w:eastAsia="de-DE" w:bidi="en-US"/>
      <w14:ligatures w14:val="none"/>
    </w:rPr>
  </w:style>
  <w:style w:type="table" w:styleId="Tabelacomgrade">
    <w:name w:val="Table Grid"/>
    <w:basedOn w:val="Tabelanormal"/>
    <w:uiPriority w:val="39"/>
    <w:rsid w:val="000F25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DPI41tablecaption">
    <w:name w:val="MDPI_4.1_table_caption"/>
    <w:qFormat/>
    <w:rsid w:val="008F1789"/>
    <w:pPr>
      <w:adjustRightInd w:val="0"/>
      <w:snapToGrid w:val="0"/>
      <w:spacing w:before="240" w:after="120" w:line="228" w:lineRule="auto"/>
      <w:ind w:left="2608"/>
      <w:jc w:val="both"/>
    </w:pPr>
    <w:rPr>
      <w:rFonts w:ascii="Palatino Linotype" w:eastAsia="Times New Roman" w:hAnsi="Palatino Linotype" w:cs="Cordia New"/>
      <w:color w:val="000000"/>
      <w:kern w:val="0"/>
      <w:sz w:val="18"/>
      <w:lang w:val="en-US" w:eastAsia="de-DE" w:bidi="en-US"/>
      <w14:ligatures w14:val="none"/>
    </w:rPr>
  </w:style>
  <w:style w:type="paragraph" w:customStyle="1" w:styleId="MDPI31text">
    <w:name w:val="MDPI_3.1_text"/>
    <w:qFormat/>
    <w:rsid w:val="00CD5E8A"/>
    <w:pPr>
      <w:adjustRightInd w:val="0"/>
      <w:snapToGrid w:val="0"/>
      <w:spacing w:after="0" w:line="228" w:lineRule="auto"/>
      <w:ind w:left="2608" w:firstLine="425"/>
      <w:jc w:val="both"/>
    </w:pPr>
    <w:rPr>
      <w:rFonts w:ascii="Palatino Linotype" w:eastAsia="Times New Roman" w:hAnsi="Palatino Linotype" w:cs="Times New Roman"/>
      <w:snapToGrid w:val="0"/>
      <w:color w:val="000000"/>
      <w:kern w:val="0"/>
      <w:sz w:val="20"/>
      <w:lang w:val="en-US" w:eastAsia="de-DE" w:bidi="en-US"/>
      <w14:ligatures w14:val="none"/>
    </w:rPr>
  </w:style>
  <w:style w:type="paragraph" w:customStyle="1" w:styleId="MDPI42tablebody">
    <w:name w:val="MDPI_4.2_table_body"/>
    <w:qFormat/>
    <w:rsid w:val="00CD5E8A"/>
    <w:pPr>
      <w:adjustRightInd w:val="0"/>
      <w:snapToGrid w:val="0"/>
      <w:spacing w:after="0" w:line="260" w:lineRule="atLeast"/>
      <w:jc w:val="center"/>
    </w:pPr>
    <w:rPr>
      <w:rFonts w:ascii="Palatino Linotype" w:eastAsia="Times New Roman" w:hAnsi="Palatino Linotype" w:cs="Times New Roman"/>
      <w:snapToGrid w:val="0"/>
      <w:color w:val="000000"/>
      <w:kern w:val="0"/>
      <w:sz w:val="20"/>
      <w:szCs w:val="20"/>
      <w:lang w:val="en-US" w:eastAsia="de-DE" w:bidi="en-US"/>
      <w14:ligatures w14:val="none"/>
    </w:rPr>
  </w:style>
  <w:style w:type="paragraph" w:styleId="PargrafodaLista">
    <w:name w:val="List Paragraph"/>
    <w:basedOn w:val="Normal"/>
    <w:uiPriority w:val="34"/>
    <w:qFormat/>
    <w:rsid w:val="00E079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tiff"/><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tif"/><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image" Target="media/image10.tif"/><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E896E-9DAC-45B8-8393-0F04D452D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1240</Words>
  <Characters>6702</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7927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Joaquin Linares Leon</dc:creator>
  <cp:keywords/>
  <dc:description/>
  <cp:lastModifiedBy>Grace Ferreira Ghesti</cp:lastModifiedBy>
  <cp:revision>3</cp:revision>
  <dcterms:created xsi:type="dcterms:W3CDTF">2023-11-08T19:10:00Z</dcterms:created>
  <dcterms:modified xsi:type="dcterms:W3CDTF">2023-11-08T19:13:00Z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http://www.zotero.org/styles/angewandte-chemie</vt:lpwstr>
  </property>
  <property fmtid="{D5CDD505-2E9C-101B-9397-08002B2CF9AE}" pid="9" name="Mendeley Recent Style Name 3_1">
    <vt:lpwstr>Angewandte Chemie International Edition</vt:lpwstr>
  </property>
  <property fmtid="{D5CDD505-2E9C-101B-9397-08002B2CF9AE}" pid="10" name="Mendeley Recent Style Id 4_1">
    <vt:lpwstr>http://www.zotero.org/styles/chicago-note-bibliography</vt:lpwstr>
  </property>
  <property fmtid="{D5CDD505-2E9C-101B-9397-08002B2CF9AE}" pid="11" name="Mendeley Recent Style Name 4_1">
    <vt:lpwstr>Chicago Manual of Style 17th edition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http://www.zotero.org/styles/elsevier-with-titles</vt:lpwstr>
  </property>
  <property fmtid="{D5CDD505-2E9C-101B-9397-08002B2CF9AE}" pid="15" name="Mendeley Recent Style Name 6_1">
    <vt:lpwstr>Elsevier (numeric, with titles)</vt:lpwstr>
  </property>
  <property fmtid="{D5CDD505-2E9C-101B-9397-08002B2CF9AE}" pid="16" name="Mendeley Recent Style Id 7_1">
    <vt:lpwstr>http://www.zotero.org/styles/journal-of-solid-state-electrochemistry</vt:lpwstr>
  </property>
  <property fmtid="{D5CDD505-2E9C-101B-9397-08002B2CF9AE}" pid="17" name="Mendeley Recent Style Name 7_1">
    <vt:lpwstr>Journal of Solid State Electrochemistry</vt:lpwstr>
  </property>
  <property fmtid="{D5CDD505-2E9C-101B-9397-08002B2CF9AE}" pid="18" name="Mendeley Recent Style Id 8_1">
    <vt:lpwstr>http://www.zotero.org/styles/multidisciplinary-digital-publishing-institute</vt:lpwstr>
  </property>
  <property fmtid="{D5CDD505-2E9C-101B-9397-08002B2CF9AE}" pid="19" name="Mendeley Recent Style Name 8_1">
    <vt:lpwstr>Multidisciplinary Digital Publishing Institute</vt:lpwstr>
  </property>
  <property fmtid="{D5CDD505-2E9C-101B-9397-08002B2CF9AE}" pid="20" name="Mendeley Recent Style Id 9_1">
    <vt:lpwstr>http://www.zotero.org/styles/universidade-estadual-paulista-faculdade-de-engenharia-de-guaratingueta-abnt</vt:lpwstr>
  </property>
  <property fmtid="{D5CDD505-2E9C-101B-9397-08002B2CF9AE}" pid="21" name="Mendeley Recent Style Name 9_1">
    <vt:lpwstr>Universidade Estadual Paulista - Faculdade de Engenharia de Guaratingueta - ABNT (Português - Brasil)</vt:lpwstr>
  </property>
  <property fmtid="{D5CDD505-2E9C-101B-9397-08002B2CF9AE}" pid="22" name="Mendeley Document_1">
    <vt:lpwstr>True</vt:lpwstr>
  </property>
  <property fmtid="{D5CDD505-2E9C-101B-9397-08002B2CF9AE}" pid="23" name="Mendeley Unique User Id_1">
    <vt:lpwstr>533c939c-051e-3606-a1b2-fb8ce9b64e61</vt:lpwstr>
  </property>
  <property fmtid="{D5CDD505-2E9C-101B-9397-08002B2CF9AE}" pid="24" name="Mendeley Citation Style_1">
    <vt:lpwstr>http://www.zotero.org/styles/multidisciplinary-digital-publishing-institute</vt:lpwstr>
  </property>
</Properties>
</file>