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8C689" w14:textId="77777777" w:rsidR="00F623DE" w:rsidRPr="00DB76F6" w:rsidRDefault="00F623DE" w:rsidP="00F623DE">
      <w:pPr>
        <w:pStyle w:val="MDPI11articletype"/>
      </w:pPr>
      <w:r w:rsidRPr="00DB76F6">
        <w:t>Article</w:t>
      </w:r>
    </w:p>
    <w:p w14:paraId="4E152C18" w14:textId="0E3C746D" w:rsidR="00F623DE" w:rsidRPr="00DB76F6" w:rsidRDefault="00627CB2" w:rsidP="00F623DE">
      <w:pPr>
        <w:pStyle w:val="MDPI12title"/>
      </w:pPr>
      <w:r w:rsidRPr="00DB76F6">
        <w:t>Anti-inflammatory Effect of Geniposide on Lipopolysaccharide-stimulated RAW 264.7 Mouse Macrophages via calcium-P38 MAPK pathway</w:t>
      </w:r>
    </w:p>
    <w:p w14:paraId="76ECFD84" w14:textId="76BAF766" w:rsidR="001C0470" w:rsidRPr="00DB76F6" w:rsidRDefault="009C3AE3" w:rsidP="001C0470">
      <w:pPr>
        <w:pStyle w:val="MDPI13authornames"/>
      </w:pPr>
      <w:r w:rsidRPr="00DB76F6">
        <w:t xml:space="preserve">Hyun-Ju Kim and </w:t>
      </w:r>
      <w:r w:rsidR="001C0470" w:rsidRPr="00DB76F6">
        <w:t>Wansu Park *</w:t>
      </w:r>
    </w:p>
    <w:p w14:paraId="2853A0B9" w14:textId="77777777" w:rsidR="000E5F77" w:rsidRDefault="000E5F77" w:rsidP="00FF6C72">
      <w:pPr>
        <w:pStyle w:val="MDPI21heading1"/>
        <w:ind w:left="115" w:hangingChars="72" w:hanging="115"/>
        <w:rPr>
          <w:b w:val="0"/>
          <w:snapToGrid/>
          <w:sz w:val="16"/>
          <w:szCs w:val="18"/>
        </w:rPr>
      </w:pPr>
      <w:r w:rsidRPr="000E5F77">
        <w:rPr>
          <w:b w:val="0"/>
          <w:snapToGrid/>
          <w:sz w:val="16"/>
          <w:szCs w:val="18"/>
        </w:rPr>
        <w:t>Department of Pathology, College of Korean Medicine, Gachon University, Seongnam 13120, Republic of Korea; eternity0304@daum.net (H.-J.K.); pws98@gachon.ac.kr (W.P.)</w:t>
      </w:r>
      <w:bookmarkStart w:id="0" w:name="_GoBack"/>
      <w:bookmarkEnd w:id="0"/>
    </w:p>
    <w:p w14:paraId="6A563FD2" w14:textId="5A6A3B3B" w:rsidR="000E5F77" w:rsidRPr="000E5F77" w:rsidRDefault="000E5F77" w:rsidP="00FF6C72">
      <w:pPr>
        <w:pStyle w:val="MDPI21heading1"/>
        <w:ind w:left="115" w:hangingChars="72" w:hanging="115"/>
        <w:rPr>
          <w:b w:val="0"/>
          <w:snapToGrid/>
          <w:sz w:val="16"/>
          <w:szCs w:val="18"/>
        </w:rPr>
      </w:pPr>
      <w:r w:rsidRPr="000E5F77">
        <w:rPr>
          <w:b w:val="0"/>
          <w:snapToGrid/>
          <w:sz w:val="16"/>
          <w:szCs w:val="18"/>
        </w:rPr>
        <w:t>*</w:t>
      </w:r>
      <w:r w:rsidRPr="000E5F77">
        <w:rPr>
          <w:b w:val="0"/>
          <w:snapToGrid/>
          <w:sz w:val="16"/>
          <w:szCs w:val="18"/>
        </w:rPr>
        <w:tab/>
        <w:t>Correspondence: pws98@gachon.ac.kr; Tel.: +82-31-750-8821</w:t>
      </w:r>
    </w:p>
    <w:p w14:paraId="235A2A30" w14:textId="2B49A02A" w:rsidR="00F623DE" w:rsidRPr="00DB76F6" w:rsidRDefault="00F623DE" w:rsidP="00FF6C72">
      <w:pPr>
        <w:pStyle w:val="MDPI21heading1"/>
        <w:ind w:left="141" w:hangingChars="72" w:hanging="141"/>
        <w:rPr>
          <w:lang w:eastAsia="ko-KR"/>
        </w:rPr>
      </w:pPr>
      <w:r w:rsidRPr="00DB76F6">
        <w:rPr>
          <w:rFonts w:hint="eastAsia"/>
          <w:lang w:eastAsia="ko-KR"/>
        </w:rPr>
        <w:t>&lt; Supplementary Material</w:t>
      </w:r>
      <w:r w:rsidRPr="00DB76F6">
        <w:rPr>
          <w:lang w:eastAsia="ko-KR"/>
        </w:rPr>
        <w:t xml:space="preserve"> for </w:t>
      </w:r>
      <w:r w:rsidRPr="00DB76F6">
        <w:t>Materials and Methods</w:t>
      </w:r>
      <w:r w:rsidRPr="00DB76F6">
        <w:rPr>
          <w:rFonts w:hint="eastAsia"/>
          <w:lang w:eastAsia="ko-KR"/>
        </w:rPr>
        <w:t>&gt;</w:t>
      </w:r>
    </w:p>
    <w:p w14:paraId="55112989" w14:textId="77777777" w:rsidR="00F623DE" w:rsidRPr="00DB76F6" w:rsidRDefault="00F623DE" w:rsidP="00F623DE">
      <w:pPr>
        <w:pStyle w:val="MDPI21heading1"/>
        <w:ind w:left="141" w:hanging="141"/>
      </w:pPr>
      <w:r w:rsidRPr="00DB76F6">
        <w:t>1. Materials and Methods</w:t>
      </w:r>
    </w:p>
    <w:p w14:paraId="0E734C28" w14:textId="3B93DD7A" w:rsidR="00F623DE" w:rsidRPr="00DB76F6" w:rsidRDefault="00F623DE" w:rsidP="00F623DE">
      <w:pPr>
        <w:pStyle w:val="MDPI31text"/>
        <w:ind w:left="144" w:hangingChars="72" w:hanging="144"/>
      </w:pPr>
      <w:r w:rsidRPr="00DB76F6">
        <w:t xml:space="preserve">The </w:t>
      </w:r>
      <w:r w:rsidR="002F19BE" w:rsidRPr="00DB76F6">
        <w:t xml:space="preserve">following provides a </w:t>
      </w:r>
      <w:r w:rsidRPr="00DB76F6">
        <w:t>detailed description of the materials and experimental methods used in this study.</w:t>
      </w:r>
    </w:p>
    <w:p w14:paraId="783D56C5" w14:textId="77777777" w:rsidR="00F623DE" w:rsidRPr="00DB76F6" w:rsidRDefault="00F623DE" w:rsidP="00F623DE">
      <w:pPr>
        <w:pStyle w:val="MDPI31text"/>
        <w:ind w:left="144" w:hangingChars="72" w:hanging="144"/>
      </w:pPr>
    </w:p>
    <w:p w14:paraId="6436C544" w14:textId="77777777" w:rsidR="00F623DE" w:rsidRPr="00DB76F6" w:rsidRDefault="00F623DE" w:rsidP="00FF6C72">
      <w:pPr>
        <w:pStyle w:val="MDPI31text"/>
        <w:ind w:left="141" w:hangingChars="72" w:hanging="141"/>
        <w:rPr>
          <w:b/>
        </w:rPr>
      </w:pPr>
      <w:r w:rsidRPr="00DB76F6">
        <w:rPr>
          <w:b/>
        </w:rPr>
        <w:t>1.1. Materials</w:t>
      </w:r>
    </w:p>
    <w:p w14:paraId="760B3A9B" w14:textId="42D21D20" w:rsidR="005D29D6" w:rsidRPr="00DB76F6" w:rsidRDefault="00F623DE" w:rsidP="00F623DE">
      <w:pPr>
        <w:pStyle w:val="MDPI31text"/>
        <w:ind w:left="0" w:firstLine="0"/>
      </w:pPr>
      <w:r w:rsidRPr="00DB76F6">
        <w:t xml:space="preserve">Dulbecco’s modified Eagle’s medium (DMEM), FBS, penicillin, streptomycin, </w:t>
      </w:r>
      <w:r w:rsidR="009D6182" w:rsidRPr="00DB76F6">
        <w:t>p</w:t>
      </w:r>
      <w:r w:rsidRPr="00DB76F6">
        <w:t>hosphate-buffered saline (1x), lipopolysaccharide (LPS) from Escherichia coli O55:B5 (Cat No. L2880; endotoxin levels of not less than 500,000 EU),</w:t>
      </w:r>
      <w:r w:rsidR="006F4180" w:rsidRPr="00DB76F6">
        <w:t xml:space="preserve"> geniposide,</w:t>
      </w:r>
      <w:r w:rsidRPr="00DB76F6">
        <w:t xml:space="preserve"> baicalein, and other cell culture reagents were purchased from Millipore (Billerica, MA, USA). Griess reagent assay kits and Fluo-4 calcium assay kits were purchased </w:t>
      </w:r>
      <w:r w:rsidR="002F19BE" w:rsidRPr="00DB76F6">
        <w:t>from</w:t>
      </w:r>
      <w:r w:rsidRPr="00DB76F6">
        <w:t xml:space="preserve"> Thermo Fisher Scientific (Waltham, MA, USA). Dihydrorhodamine 123 assay kits were purchased from Millipore. Multiplex cytokine assay kits were purchased from Millipore. Real time PCR kits were ordered from Bio-Rad (Hercules, CA, USA). Fixable Viability Dye eFl</w:t>
      </w:r>
      <w:r w:rsidR="005C3150" w:rsidRPr="00DB76F6">
        <w:t>uor 520 (eBioscience 65-0867-18</w:t>
      </w:r>
      <w:r w:rsidRPr="00DB76F6">
        <w:t xml:space="preserve">), </w:t>
      </w:r>
      <w:r w:rsidR="005D29D6" w:rsidRPr="00DB76F6">
        <w:t>phospho-P38 MAPK (T180/Y182)</w:t>
      </w:r>
      <w:r w:rsidR="0081653A" w:rsidRPr="00DB76F6">
        <w:t xml:space="preserve"> Antibody</w:t>
      </w:r>
      <w:r w:rsidR="005D29D6" w:rsidRPr="00DB76F6">
        <w:t xml:space="preserve"> (eBioscience 17-9078-42), </w:t>
      </w:r>
      <w:r w:rsidR="00457026" w:rsidRPr="00DB76F6">
        <w:t xml:space="preserve">and </w:t>
      </w:r>
      <w:r w:rsidR="005D29D6" w:rsidRPr="00DB76F6">
        <w:t>Mouse IgG2b kappa Isotype Control (eBioscience 12-4732-81) from Life Technologies Corporation (Carlsbad, CA, USA).</w:t>
      </w:r>
    </w:p>
    <w:p w14:paraId="79DAD93B" w14:textId="77777777" w:rsidR="00F623DE" w:rsidRPr="00DB76F6" w:rsidRDefault="00F623DE" w:rsidP="00F623DE">
      <w:pPr>
        <w:pStyle w:val="MDPI31text"/>
        <w:ind w:left="142" w:hangingChars="71" w:hanging="142"/>
      </w:pPr>
    </w:p>
    <w:p w14:paraId="28B98100" w14:textId="1851CACD" w:rsidR="00772C89" w:rsidRPr="00DB76F6" w:rsidRDefault="00772C89" w:rsidP="00772C89">
      <w:pPr>
        <w:pStyle w:val="MDPI31text"/>
        <w:ind w:left="1" w:firstLineChars="1" w:firstLine="2"/>
        <w:rPr>
          <w:b/>
        </w:rPr>
      </w:pPr>
      <w:r w:rsidRPr="00DB76F6">
        <w:rPr>
          <w:b/>
        </w:rPr>
        <w:t>1.2. Aseptic preparation of geniposide</w:t>
      </w:r>
    </w:p>
    <w:p w14:paraId="5D6C2572" w14:textId="6DAAB44C" w:rsidR="00772C89" w:rsidRPr="00DB76F6" w:rsidRDefault="00772C89" w:rsidP="00772C89">
      <w:pPr>
        <w:pStyle w:val="MDPI31text"/>
        <w:ind w:left="0" w:firstLineChars="1" w:firstLine="2"/>
      </w:pPr>
      <w:r w:rsidRPr="00DB76F6">
        <w:rPr>
          <w:iCs/>
        </w:rPr>
        <w:t xml:space="preserve">Geniposide </w:t>
      </w:r>
      <w:r w:rsidRPr="00DB76F6">
        <w:t>(10~50 µM) was dissolved in phosphate buffer saline (1x) aseptically in clean bench, then filtered through a 0.22 µM syringe filter in order to avoid causing unnecessary infectious inflammatory reactions in cells.</w:t>
      </w:r>
    </w:p>
    <w:p w14:paraId="71F6B052" w14:textId="77777777" w:rsidR="00772C89" w:rsidRPr="00DB76F6" w:rsidRDefault="00772C89" w:rsidP="00FF6C72">
      <w:pPr>
        <w:pStyle w:val="MDPI31text"/>
        <w:ind w:left="139" w:hangingChars="71" w:hanging="139"/>
        <w:rPr>
          <w:b/>
        </w:rPr>
      </w:pPr>
    </w:p>
    <w:p w14:paraId="6944C5D2" w14:textId="3382617A" w:rsidR="00F623DE" w:rsidRPr="00DB76F6" w:rsidRDefault="00F623DE" w:rsidP="00FF6C72">
      <w:pPr>
        <w:pStyle w:val="MDPI31text"/>
        <w:ind w:left="139" w:hangingChars="71" w:hanging="139"/>
        <w:rPr>
          <w:b/>
        </w:rPr>
      </w:pPr>
      <w:r w:rsidRPr="00DB76F6">
        <w:rPr>
          <w:b/>
        </w:rPr>
        <w:t>1.</w:t>
      </w:r>
      <w:r w:rsidR="00772C89" w:rsidRPr="00DB76F6">
        <w:rPr>
          <w:b/>
        </w:rPr>
        <w:t>3</w:t>
      </w:r>
      <w:r w:rsidRPr="00DB76F6">
        <w:rPr>
          <w:b/>
        </w:rPr>
        <w:t>. Cell culture and cell viability</w:t>
      </w:r>
    </w:p>
    <w:p w14:paraId="0E65EA2D" w14:textId="7B87B1A5" w:rsidR="00F623DE" w:rsidRPr="00DB76F6" w:rsidRDefault="00F623DE" w:rsidP="00F623DE">
      <w:pPr>
        <w:pStyle w:val="MDPI31text"/>
        <w:ind w:left="0" w:firstLine="0"/>
      </w:pPr>
      <w:r w:rsidRPr="00DB76F6">
        <w:t>RAW 264.7 mouse macrophages were obtained from Korea Cell Line Bank (Seoul, Korea). RAW 264.7 mouse macrophages</w:t>
      </w:r>
      <w:r w:rsidR="00345340" w:rsidRPr="00DB76F6">
        <w:t xml:space="preserve"> (passage number 4) </w:t>
      </w:r>
      <w:r w:rsidRPr="00DB76F6">
        <w:t>were cultured with DMEM supplemented with 10% FBS containing 100 U/mL of penicillin and 100 µg/mL of streptomycin at 37 °C in a 5% CO</w:t>
      </w:r>
      <w:r w:rsidRPr="00DB76F6">
        <w:rPr>
          <w:vertAlign w:val="subscript"/>
        </w:rPr>
        <w:t>2</w:t>
      </w:r>
      <w:r w:rsidRPr="00DB76F6">
        <w:t xml:space="preserve"> humidified incubator. </w:t>
      </w:r>
      <w:r w:rsidR="009D3192" w:rsidRPr="00DB76F6">
        <w:t>Prior to the</w:t>
      </w:r>
      <w:r w:rsidRPr="00DB76F6">
        <w:t xml:space="preserve"> experimental assays, RAW 264.7 mouse macrophages were washed with phosphate buffer saline (1x). Briefly, RAW 264.7 mouse macrophages were incubated with </w:t>
      </w:r>
      <w:r w:rsidR="006F4180" w:rsidRPr="00DB76F6">
        <w:t>geniposide</w:t>
      </w:r>
      <w:r w:rsidRPr="00DB76F6">
        <w:t xml:space="preserve"> for 24 h</w:t>
      </w:r>
      <w:r w:rsidR="006F4180" w:rsidRPr="00DB76F6">
        <w:t xml:space="preserve"> and 48 h</w:t>
      </w:r>
      <w:r w:rsidRPr="00DB76F6">
        <w:t xml:space="preserve"> in 96-well plates (1x10</w:t>
      </w:r>
      <w:r w:rsidRPr="00DB76F6">
        <w:rPr>
          <w:vertAlign w:val="superscript"/>
        </w:rPr>
        <w:t>4</w:t>
      </w:r>
      <w:r w:rsidRPr="00DB76F6">
        <w:t xml:space="preserve"> cells/well) to verify the toxicity of </w:t>
      </w:r>
      <w:r w:rsidR="006F4180" w:rsidRPr="00DB76F6">
        <w:t>geniposide</w:t>
      </w:r>
      <w:r w:rsidRPr="00DB76F6">
        <w:t xml:space="preserve">. After </w:t>
      </w:r>
      <w:r w:rsidR="006F4180" w:rsidRPr="00DB76F6">
        <w:t>incubation</w:t>
      </w:r>
      <w:r w:rsidRPr="00DB76F6">
        <w:t xml:space="preserve"> with </w:t>
      </w:r>
      <w:r w:rsidR="006F4180" w:rsidRPr="00DB76F6">
        <w:t>geniposide</w:t>
      </w:r>
      <w:r w:rsidRPr="00DB76F6">
        <w:t>, cell viability was confirmed with the tetrazolium-based colorimetric assay (</w:t>
      </w:r>
      <w:r w:rsidRPr="00DB76F6">
        <w:rPr>
          <w:rFonts w:eastAsia="맑은 고딕"/>
          <w:color w:val="auto"/>
          <w:lang w:eastAsia="ko-KR"/>
        </w:rPr>
        <w:t>a modified MTT assay)</w:t>
      </w:r>
      <w:r w:rsidRPr="00DB76F6">
        <w:t>.</w:t>
      </w:r>
      <w:r w:rsidRPr="00DB76F6">
        <w:rPr>
          <w:color w:val="auto"/>
          <w:lang w:eastAsia="en-US"/>
        </w:rPr>
        <w:t xml:space="preserve"> OD was determined at 540 nm with </w:t>
      </w:r>
      <w:r w:rsidR="009D3192" w:rsidRPr="00DB76F6">
        <w:rPr>
          <w:color w:val="auto"/>
          <w:lang w:eastAsia="en-US"/>
        </w:rPr>
        <w:t xml:space="preserve">a </w:t>
      </w:r>
      <w:r w:rsidRPr="00DB76F6">
        <w:rPr>
          <w:color w:val="auto"/>
          <w:lang w:eastAsia="en-US"/>
        </w:rPr>
        <w:t>Model 680 microplate reader (Bio-Rad, Hercules, CA, USA).</w:t>
      </w:r>
    </w:p>
    <w:p w14:paraId="76D56E80" w14:textId="77777777" w:rsidR="00F623DE" w:rsidRPr="00DB76F6" w:rsidRDefault="00F623DE" w:rsidP="00F623DE">
      <w:pPr>
        <w:pStyle w:val="MDPI31text"/>
        <w:ind w:left="142" w:hangingChars="71" w:hanging="142"/>
      </w:pPr>
    </w:p>
    <w:p w14:paraId="74FD2081" w14:textId="74E20D8A" w:rsidR="00F623DE" w:rsidRPr="00DB76F6" w:rsidRDefault="00F623DE" w:rsidP="00FF6C72">
      <w:pPr>
        <w:pStyle w:val="MDPI31text"/>
        <w:ind w:left="139" w:hangingChars="71" w:hanging="139"/>
        <w:rPr>
          <w:b/>
        </w:rPr>
      </w:pPr>
      <w:r w:rsidRPr="00DB76F6">
        <w:rPr>
          <w:rFonts w:hint="eastAsia"/>
          <w:b/>
          <w:lang w:eastAsia="ko-KR"/>
        </w:rPr>
        <w:t>1.</w:t>
      </w:r>
      <w:r w:rsidR="00772C89" w:rsidRPr="00DB76F6">
        <w:rPr>
          <w:b/>
          <w:lang w:eastAsia="ko-KR"/>
        </w:rPr>
        <w:t>4</w:t>
      </w:r>
      <w:r w:rsidRPr="00DB76F6">
        <w:rPr>
          <w:rFonts w:hint="eastAsia"/>
          <w:b/>
          <w:lang w:eastAsia="ko-KR"/>
        </w:rPr>
        <w:t xml:space="preserve">. </w:t>
      </w:r>
      <w:r w:rsidRPr="00DB76F6">
        <w:rPr>
          <w:b/>
        </w:rPr>
        <w:t>Quantification of NO Production in RAW 264.7 mouse macrophages</w:t>
      </w:r>
    </w:p>
    <w:p w14:paraId="2DD4E662" w14:textId="0FA62DC7" w:rsidR="00F623DE" w:rsidRPr="00DB76F6" w:rsidRDefault="002C5F49" w:rsidP="00F623DE">
      <w:pPr>
        <w:pStyle w:val="MDPI31text"/>
        <w:ind w:left="0" w:firstLine="0"/>
      </w:pPr>
      <w:r w:rsidRPr="00DB76F6">
        <w:t xml:space="preserve">The </w:t>
      </w:r>
      <w:r w:rsidR="00F623DE" w:rsidRPr="00DB76F6">
        <w:t>NO concentration in culture medium was determined by the Griess reagent assay. Specifically, after incubating RAW 264.7 mouse macrophages (1x10</w:t>
      </w:r>
      <w:r w:rsidR="00F623DE" w:rsidRPr="00DB76F6">
        <w:rPr>
          <w:vertAlign w:val="superscript"/>
        </w:rPr>
        <w:t>4</w:t>
      </w:r>
      <w:r w:rsidR="00F623DE" w:rsidRPr="00DB76F6">
        <w:t xml:space="preserve"> cells/well) with LPS and/or </w:t>
      </w:r>
      <w:r w:rsidR="006F4180" w:rsidRPr="00DB76F6">
        <w:t>geniposide</w:t>
      </w:r>
      <w:r w:rsidR="00F623DE" w:rsidRPr="00DB76F6">
        <w:t xml:space="preserve"> for 24 h, 100 µL of supernatant from each well was mixed with 100 µL Griess reagent in a 96-well plate. After 15 min </w:t>
      </w:r>
      <w:r w:rsidRPr="00DB76F6">
        <w:t xml:space="preserve">of </w:t>
      </w:r>
      <w:r w:rsidR="00F623DE" w:rsidRPr="00DB76F6">
        <w:t xml:space="preserve">incubation at room temperature, </w:t>
      </w:r>
      <w:r w:rsidRPr="00DB76F6">
        <w:t xml:space="preserve">the </w:t>
      </w:r>
      <w:r w:rsidR="00F623DE" w:rsidRPr="00DB76F6">
        <w:t xml:space="preserve">optical density was determined at 540 nm </w:t>
      </w:r>
      <w:r w:rsidR="00F623DE" w:rsidRPr="00DB76F6">
        <w:rPr>
          <w:color w:val="auto"/>
          <w:lang w:eastAsia="en-US"/>
        </w:rPr>
        <w:t xml:space="preserve">with </w:t>
      </w:r>
      <w:r w:rsidRPr="00DB76F6">
        <w:rPr>
          <w:color w:val="auto"/>
          <w:lang w:eastAsia="en-US"/>
        </w:rPr>
        <w:t xml:space="preserve">a </w:t>
      </w:r>
      <w:r w:rsidR="00F623DE" w:rsidRPr="00DB76F6">
        <w:rPr>
          <w:color w:val="auto"/>
          <w:lang w:eastAsia="en-US"/>
        </w:rPr>
        <w:t>Model 680 microplate reader</w:t>
      </w:r>
      <w:r w:rsidR="00F623DE" w:rsidRPr="00DB76F6">
        <w:t xml:space="preserve"> (Bio-Rad, Hercules, CA, USA). </w:t>
      </w:r>
      <w:r w:rsidR="00345D24" w:rsidRPr="00DB76F6">
        <w:t>Baicalein (25 µM) was used as a positive control.</w:t>
      </w:r>
    </w:p>
    <w:p w14:paraId="5B96F845" w14:textId="77777777" w:rsidR="00F623DE" w:rsidRPr="00DB76F6" w:rsidRDefault="00F623DE" w:rsidP="00F623DE">
      <w:pPr>
        <w:pStyle w:val="MDPI31text"/>
        <w:ind w:left="142" w:hangingChars="71" w:hanging="142"/>
      </w:pPr>
    </w:p>
    <w:p w14:paraId="49BF5186" w14:textId="79C02380" w:rsidR="00F623DE" w:rsidRPr="00DB76F6" w:rsidRDefault="00F623DE" w:rsidP="00FF6C72">
      <w:pPr>
        <w:pStyle w:val="MDPI31text"/>
        <w:ind w:left="139" w:hangingChars="71" w:hanging="139"/>
        <w:rPr>
          <w:b/>
        </w:rPr>
      </w:pPr>
      <w:r w:rsidRPr="00DB76F6">
        <w:rPr>
          <w:b/>
        </w:rPr>
        <w:t>1.</w:t>
      </w:r>
      <w:r w:rsidR="00772C89" w:rsidRPr="00DB76F6">
        <w:rPr>
          <w:b/>
        </w:rPr>
        <w:t>5</w:t>
      </w:r>
      <w:r w:rsidRPr="00DB76F6">
        <w:rPr>
          <w:b/>
        </w:rPr>
        <w:t>. Ca</w:t>
      </w:r>
      <w:r w:rsidRPr="00DB76F6">
        <w:rPr>
          <w:b/>
          <w:vertAlign w:val="superscript"/>
        </w:rPr>
        <w:t>2+</w:t>
      </w:r>
      <w:r w:rsidRPr="00DB76F6">
        <w:t xml:space="preserve"> </w:t>
      </w:r>
      <w:r w:rsidRPr="00DB76F6">
        <w:rPr>
          <w:b/>
        </w:rPr>
        <w:t>release in RAW 264.7 mouse macrophages</w:t>
      </w:r>
    </w:p>
    <w:p w14:paraId="57BB7B11" w14:textId="06695342" w:rsidR="005476FF" w:rsidRPr="00DB76F6" w:rsidRDefault="002C5F49" w:rsidP="005476FF">
      <w:pPr>
        <w:pStyle w:val="MDPI31text"/>
        <w:ind w:left="0" w:firstLine="0"/>
      </w:pPr>
      <w:r w:rsidRPr="00DB76F6">
        <w:lastRenderedPageBreak/>
        <w:t xml:space="preserve">The </w:t>
      </w:r>
      <w:r w:rsidR="00F623DE" w:rsidRPr="00DB76F6">
        <w:t>Ca</w:t>
      </w:r>
      <w:r w:rsidR="00F623DE" w:rsidRPr="00DB76F6">
        <w:rPr>
          <w:vertAlign w:val="superscript"/>
        </w:rPr>
        <w:t>2+</w:t>
      </w:r>
      <w:r w:rsidR="00F623DE" w:rsidRPr="00DB76F6">
        <w:t xml:space="preserve"> release from RAW 264.7 mouse macrophages </w:t>
      </w:r>
      <w:r w:rsidR="00F623DE" w:rsidRPr="00DB76F6">
        <w:rPr>
          <w:rFonts w:eastAsia="맑은 고딕" w:hint="eastAsia"/>
          <w:lang w:eastAsia="ko-KR"/>
        </w:rPr>
        <w:t>was</w:t>
      </w:r>
      <w:r w:rsidR="00F623DE" w:rsidRPr="00DB76F6">
        <w:t xml:space="preserve"> measured </w:t>
      </w:r>
      <w:r w:rsidRPr="00DB76F6">
        <w:t>using a</w:t>
      </w:r>
      <w:r w:rsidR="00F623DE" w:rsidRPr="00DB76F6">
        <w:t xml:space="preserve"> Fluo-4 calcium assay kit (Thermo Fisher Scientific).</w:t>
      </w:r>
      <w:r w:rsidR="00F623DE" w:rsidRPr="00DB76F6">
        <w:rPr>
          <w:rFonts w:eastAsia="맑은 고딕" w:hint="eastAsia"/>
          <w:lang w:eastAsia="ko-KR"/>
        </w:rPr>
        <w:t xml:space="preserve"> </w:t>
      </w:r>
      <w:r w:rsidR="00F623DE" w:rsidRPr="00DB76F6">
        <w:t>RAW 264.7 mouse macrophages in 96-well plates (1x10</w:t>
      </w:r>
      <w:r w:rsidR="00F623DE" w:rsidRPr="00DB76F6">
        <w:rPr>
          <w:vertAlign w:val="superscript"/>
        </w:rPr>
        <w:t>5</w:t>
      </w:r>
      <w:r w:rsidR="00F623DE" w:rsidRPr="00DB76F6">
        <w:t xml:space="preserve"> cells/well) </w:t>
      </w:r>
      <w:r w:rsidR="00F623DE" w:rsidRPr="00DB76F6">
        <w:rPr>
          <w:rFonts w:eastAsia="맑은 고딕" w:hint="eastAsia"/>
          <w:lang w:eastAsia="ko-KR"/>
        </w:rPr>
        <w:t>were in</w:t>
      </w:r>
      <w:r w:rsidR="00F623DE" w:rsidRPr="00DB76F6">
        <w:t>cubat</w:t>
      </w:r>
      <w:r w:rsidR="00F623DE" w:rsidRPr="00DB76F6">
        <w:rPr>
          <w:rFonts w:eastAsia="맑은 고딕" w:hint="eastAsia"/>
          <w:lang w:eastAsia="ko-KR"/>
        </w:rPr>
        <w:t xml:space="preserve">ed </w:t>
      </w:r>
      <w:r w:rsidR="00F623DE" w:rsidRPr="00DB76F6">
        <w:t xml:space="preserve">with </w:t>
      </w:r>
      <w:r w:rsidR="006F4180" w:rsidRPr="00DB76F6">
        <w:t xml:space="preserve">LPS and/or geniposide </w:t>
      </w:r>
      <w:r w:rsidR="00F623DE" w:rsidRPr="00DB76F6">
        <w:t xml:space="preserve">for 24 h at 37 °C. </w:t>
      </w:r>
      <w:r w:rsidRPr="00DB76F6">
        <w:t>Next</w:t>
      </w:r>
      <w:r w:rsidR="00F623DE" w:rsidRPr="00DB76F6">
        <w:t>, the medium was removed, and the cells were incubated with 100 µL of the Fluo-4 dye loading solution for 30 min at 37 °C.</w:t>
      </w:r>
      <w:r w:rsidR="00F623DE" w:rsidRPr="00F2678C">
        <w:t xml:space="preserve"> After the incubation, </w:t>
      </w:r>
      <w:r w:rsidRPr="00F2678C">
        <w:t xml:space="preserve">the </w:t>
      </w:r>
      <w:r w:rsidR="00F623DE" w:rsidRPr="00F2678C">
        <w:t xml:space="preserve">fluorescence intensity in each well was determined using TRIAD LT </w:t>
      </w:r>
      <w:r w:rsidR="00F623DE" w:rsidRPr="00DB76F6">
        <w:t>spectrofluorometer with excitation and emission filters of 485 nm and 535 nm, respectively.</w:t>
      </w:r>
      <w:r w:rsidR="005476FF" w:rsidRPr="00DB76F6">
        <w:t xml:space="preserve"> </w:t>
      </w:r>
      <w:r w:rsidR="00345D24" w:rsidRPr="00DB76F6">
        <w:t>Baicalein (25 µM) was used as a positive control.</w:t>
      </w:r>
    </w:p>
    <w:p w14:paraId="6C91A474" w14:textId="77777777" w:rsidR="00F623DE" w:rsidRPr="00DB76F6" w:rsidRDefault="00F623DE" w:rsidP="00F623DE">
      <w:pPr>
        <w:pStyle w:val="MDPI31text"/>
        <w:ind w:left="142" w:hangingChars="71" w:hanging="142"/>
      </w:pPr>
    </w:p>
    <w:p w14:paraId="2A5EEF74" w14:textId="095E2002" w:rsidR="00F623DE" w:rsidRPr="00DB76F6" w:rsidRDefault="00F623DE" w:rsidP="00FF6C72">
      <w:pPr>
        <w:pStyle w:val="MDPI31text"/>
        <w:ind w:left="139" w:hangingChars="71" w:hanging="139"/>
        <w:rPr>
          <w:b/>
        </w:rPr>
      </w:pPr>
      <w:r w:rsidRPr="00DB76F6">
        <w:rPr>
          <w:b/>
        </w:rPr>
        <w:t>1.</w:t>
      </w:r>
      <w:r w:rsidR="00772C89" w:rsidRPr="00DB76F6">
        <w:rPr>
          <w:b/>
        </w:rPr>
        <w:t>6</w:t>
      </w:r>
      <w:r w:rsidRPr="00DB76F6">
        <w:rPr>
          <w:b/>
        </w:rPr>
        <w:t>. Hydrogen peroxide production in RAW 264.7 mouse macrophages</w:t>
      </w:r>
    </w:p>
    <w:p w14:paraId="1714EB9E" w14:textId="538766F8" w:rsidR="00F623DE" w:rsidRPr="00DB76F6" w:rsidRDefault="00F623DE" w:rsidP="00F623DE">
      <w:pPr>
        <w:pStyle w:val="MDPI31text"/>
        <w:ind w:left="0" w:firstLine="0"/>
      </w:pPr>
      <w:r w:rsidRPr="00DB76F6">
        <w:t>Hydrogen peroxide production in RAW 264.7 mouse macrophages (1x10</w:t>
      </w:r>
      <w:r w:rsidRPr="00DB76F6">
        <w:rPr>
          <w:vertAlign w:val="superscript"/>
        </w:rPr>
        <w:t>4</w:t>
      </w:r>
      <w:r w:rsidRPr="00DB76F6">
        <w:t xml:space="preserve"> cells/well) was measured by dihydrorhodamine 123 (DHR) assay. During the cellular production of reactive oxygen species, the nonfluorescent DHR was oxidized by H</w:t>
      </w:r>
      <w:r w:rsidRPr="00DB76F6">
        <w:rPr>
          <w:vertAlign w:val="subscript"/>
        </w:rPr>
        <w:t>2</w:t>
      </w:r>
      <w:r w:rsidRPr="00DB76F6">
        <w:t>O</w:t>
      </w:r>
      <w:r w:rsidRPr="00DB76F6">
        <w:rPr>
          <w:vertAlign w:val="subscript"/>
        </w:rPr>
        <w:t>2</w:t>
      </w:r>
      <w:r w:rsidRPr="00DB76F6">
        <w:t xml:space="preserve"> and irreversibly converted to the green fluorescent compound rhodamine 123 (R123). R123 was membrane-impermeable and accumulated in the cells. An aliquot of DHR (</w:t>
      </w:r>
      <w:r w:rsidR="00DC1148" w:rsidRPr="00DB76F6">
        <w:t xml:space="preserve">prepared </w:t>
      </w:r>
      <w:r w:rsidRPr="00DB76F6">
        <w:t>to produce a concentration of 10 μM in each well) was added to each 96-well plate and pre-incubated for 30 min at 37 °C. The</w:t>
      </w:r>
      <w:r w:rsidR="00DC1148" w:rsidRPr="00DB76F6">
        <w:t>n</w:t>
      </w:r>
      <w:r w:rsidRPr="00DB76F6">
        <w:t>, the medium was removed</w:t>
      </w:r>
      <w:r w:rsidR="00DC1148" w:rsidRPr="00DB76F6">
        <w:t>,</w:t>
      </w:r>
      <w:r w:rsidRPr="00DB76F6">
        <w:t xml:space="preserve"> and RAW 264.7 mouse macrophages were incubated with </w:t>
      </w:r>
      <w:r w:rsidR="006F4180" w:rsidRPr="00DB76F6">
        <w:t>LPS and/or geniposide</w:t>
      </w:r>
      <w:r w:rsidRPr="00DB76F6">
        <w:t xml:space="preserve"> for 24 h</w:t>
      </w:r>
      <w:r w:rsidR="00D72474" w:rsidRPr="00DB76F6">
        <w:t xml:space="preserve"> and 48 h</w:t>
      </w:r>
      <w:r w:rsidR="001772EF" w:rsidRPr="00DB76F6">
        <w:t xml:space="preserve"> </w:t>
      </w:r>
      <w:r w:rsidRPr="00DB76F6">
        <w:t xml:space="preserve">at 37 °C. After incubation, </w:t>
      </w:r>
      <w:r w:rsidR="00DC1148" w:rsidRPr="00DB76F6">
        <w:t xml:space="preserve">the </w:t>
      </w:r>
      <w:r w:rsidRPr="00DB76F6">
        <w:t xml:space="preserve">fluorescence intensities of each well were analyzed by </w:t>
      </w:r>
      <w:r w:rsidR="00DC1148" w:rsidRPr="00DB76F6">
        <w:t xml:space="preserve">a </w:t>
      </w:r>
      <w:r w:rsidRPr="00DB76F6">
        <w:t xml:space="preserve">spectrofluorometer (Dynex) with </w:t>
      </w:r>
      <w:r w:rsidR="00DC1148" w:rsidRPr="00DB76F6">
        <w:t xml:space="preserve">an </w:t>
      </w:r>
      <w:r w:rsidRPr="00DB76F6">
        <w:t xml:space="preserve">excitation filter 485 nm and </w:t>
      </w:r>
      <w:r w:rsidR="00DC1148" w:rsidRPr="00DB76F6">
        <w:t xml:space="preserve">an </w:t>
      </w:r>
      <w:r w:rsidRPr="00DB76F6">
        <w:t>emission filter 535 nm.</w:t>
      </w:r>
      <w:r w:rsidR="005476FF" w:rsidRPr="00DB76F6">
        <w:t xml:space="preserve"> Baicalein (25 µM) was used as a positive control.</w:t>
      </w:r>
    </w:p>
    <w:p w14:paraId="189FC1E6" w14:textId="77777777" w:rsidR="00F623DE" w:rsidRPr="00DB76F6" w:rsidRDefault="00F623DE" w:rsidP="00F623DE">
      <w:pPr>
        <w:pStyle w:val="MDPI31text"/>
        <w:ind w:left="142" w:hangingChars="71" w:hanging="142"/>
      </w:pPr>
    </w:p>
    <w:p w14:paraId="43DE628E" w14:textId="58442301" w:rsidR="00F623DE" w:rsidRPr="00DB76F6" w:rsidRDefault="00F623DE" w:rsidP="00FF6C72">
      <w:pPr>
        <w:pStyle w:val="MDPI31text"/>
        <w:ind w:left="139" w:hangingChars="71" w:hanging="139"/>
        <w:rPr>
          <w:b/>
        </w:rPr>
      </w:pPr>
      <w:r w:rsidRPr="00DB76F6">
        <w:rPr>
          <w:b/>
        </w:rPr>
        <w:t>1.</w:t>
      </w:r>
      <w:r w:rsidR="00772C89" w:rsidRPr="00DB76F6">
        <w:rPr>
          <w:b/>
        </w:rPr>
        <w:t>7</w:t>
      </w:r>
      <w:r w:rsidRPr="00DB76F6">
        <w:rPr>
          <w:b/>
        </w:rPr>
        <w:t>. Multiplex Cytokine Assay for cytokines production in RAW 264.7 mouse macrophages</w:t>
      </w:r>
    </w:p>
    <w:p w14:paraId="4577BECC" w14:textId="7FCE075F" w:rsidR="00F623DE" w:rsidRPr="00F2678C" w:rsidRDefault="00F623DE" w:rsidP="00F623DE">
      <w:pPr>
        <w:pStyle w:val="MDPI31text"/>
        <w:ind w:left="0" w:firstLine="0"/>
      </w:pPr>
      <w:r w:rsidRPr="00DB76F6">
        <w:t xml:space="preserve">Cytokines from RAW 264.7 mouse macrophages after 24 h </w:t>
      </w:r>
      <w:r w:rsidR="00DC1148" w:rsidRPr="00DB76F6">
        <w:t xml:space="preserve">of </w:t>
      </w:r>
      <w:r w:rsidRPr="00DB76F6">
        <w:t>treatment were evaluated with MILLIPLEX MAP Mouse Cytokine/Chemokine Magnetic Bead Panel kits (Millipore) and a Bio-Plex 200 suspension array system (Bio-Rad, Hercules, CA, USA). Briefly, RAW 264.7 mouse macrophages were seeded in 96-well plates (1x10</w:t>
      </w:r>
      <w:r w:rsidRPr="00DB76F6">
        <w:rPr>
          <w:vertAlign w:val="superscript"/>
        </w:rPr>
        <w:t>4</w:t>
      </w:r>
      <w:r w:rsidRPr="00DB76F6">
        <w:t xml:space="preserve"> cells/well) and treated with </w:t>
      </w:r>
      <w:r w:rsidR="006F4180" w:rsidRPr="00DB76F6">
        <w:t>LPS and/or geniposide</w:t>
      </w:r>
      <w:r w:rsidRPr="00DB76F6">
        <w:t xml:space="preserve">. After 24 h </w:t>
      </w:r>
      <w:r w:rsidR="00DC1148" w:rsidRPr="00DB76F6">
        <w:t xml:space="preserve">of </w:t>
      </w:r>
      <w:r w:rsidRPr="00DB76F6">
        <w:t xml:space="preserve">treatment, </w:t>
      </w:r>
      <w:r w:rsidR="00DC1148" w:rsidRPr="00DB76F6">
        <w:t xml:space="preserve">the </w:t>
      </w:r>
      <w:r w:rsidRPr="00DB76F6">
        <w:t>levels of the following cytokines</w:t>
      </w:r>
      <w:r w:rsidR="00E83D9A" w:rsidRPr="00DB76F6">
        <w:t xml:space="preserve"> in each well were analyzed: </w:t>
      </w:r>
      <w:r w:rsidRPr="00DB76F6">
        <w:t xml:space="preserve">interleukin (IL)-6, </w:t>
      </w:r>
      <w:r w:rsidR="00E83D9A" w:rsidRPr="00DB76F6">
        <w:t xml:space="preserve">tumor necrosis factor (TNF)-α, </w:t>
      </w:r>
      <w:r w:rsidRPr="00DB76F6">
        <w:rPr>
          <w:color w:val="auto"/>
        </w:rPr>
        <w:t xml:space="preserve">monocyte chemoattractant protein (MCP)-1, </w:t>
      </w:r>
      <w:r w:rsidR="00E83D9A" w:rsidRPr="00DB76F6">
        <w:rPr>
          <w:color w:val="auto"/>
        </w:rPr>
        <w:t xml:space="preserve">interferon inducible protein-10 (IP-10), </w:t>
      </w:r>
      <w:r w:rsidR="00E83D9A" w:rsidRPr="00DB76F6">
        <w:t>granulocyte colony-stimulating factor (G-CSF), granulocyte macrophage colony-stimulating factor (GM-CSF), macrophage inflammatory proteins (MIP)-1α, MIP-1β, MIP-2, and lipopolysaccharide-induced CXC chemokine (LIX; CXCL5)</w:t>
      </w:r>
      <w:r w:rsidRPr="00DB76F6">
        <w:t xml:space="preserve">. Cytokines were measured using a Luminex assay based on xMAP technology </w:t>
      </w:r>
      <w:r w:rsidR="00DC1148" w:rsidRPr="00DB76F6">
        <w:t>using</w:t>
      </w:r>
      <w:r w:rsidRPr="00DB76F6">
        <w:t xml:space="preserve"> MILLIPLEX MAP Mouse Cytokine/Chemokine Magnetic Bead Panel kits and a Bio-Plex 200 suspension array system. The assay </w:t>
      </w:r>
      <w:r w:rsidR="00C94A12" w:rsidRPr="00DB76F6">
        <w:t>conducted</w:t>
      </w:r>
      <w:r w:rsidRPr="00DB76F6">
        <w:t xml:space="preserve"> in this experiment was designed for the multiplexed quantitative measurement of multiple cytokines in a single well, </w:t>
      </w:r>
      <w:r w:rsidR="00C94A12" w:rsidRPr="00DB76F6">
        <w:t>and</w:t>
      </w:r>
      <w:r w:rsidRPr="00DB76F6">
        <w:t xml:space="preserve"> as little as 25 µL of cell culture supernatant</w:t>
      </w:r>
      <w:r w:rsidR="00C94A12" w:rsidRPr="00DB76F6">
        <w:t xml:space="preserve"> was used</w:t>
      </w:r>
      <w:r w:rsidRPr="00DB76F6">
        <w:t xml:space="preserve">. </w:t>
      </w:r>
      <w:r w:rsidR="00C94A12" w:rsidRPr="00DB76F6">
        <w:t>The s</w:t>
      </w:r>
      <w:r w:rsidRPr="00DB76F6">
        <w:t xml:space="preserve">tandard curves for each cytokine were generated using the kit-supplied reference cytokine samples. Briefly, the following procedure was performed: after pre-wetting the 96-well plate with Wash Buffer, </w:t>
      </w:r>
      <w:r w:rsidR="00C94A12" w:rsidRPr="00DB76F6">
        <w:t xml:space="preserve">the </w:t>
      </w:r>
      <w:r w:rsidRPr="00DB76F6">
        <w:t xml:space="preserve">Wash Buffer </w:t>
      </w:r>
      <w:r w:rsidR="00C94A12" w:rsidRPr="00DB76F6">
        <w:t>was removed from</w:t>
      </w:r>
      <w:r w:rsidRPr="00DB76F6">
        <w:t xml:space="preserve"> each well using a Handheld Magnetic Separation Block (HMSB). Next, cell culture supernatants from each well were incubated with antibody-conjugated beads on a plate shaker for 2 h at room temperature. After incubation, well contents were gently removed with a HMSB, and the 96-well plate was washed </w:t>
      </w:r>
      <w:r w:rsidR="00C94A12" w:rsidRPr="00DB76F6">
        <w:t>twice</w:t>
      </w:r>
      <w:r w:rsidRPr="00DB76F6">
        <w:t>. Then, 25 µL of Detection Antibodies w</w:t>
      </w:r>
      <w:r w:rsidR="00C94A12" w:rsidRPr="00DB76F6">
        <w:t>as</w:t>
      </w:r>
      <w:r w:rsidRPr="00DB76F6">
        <w:t xml:space="preserve"> added to each well and incubated with agitation on a plate shaker for 1 h at room temperature. Subsequently, 25 µL </w:t>
      </w:r>
      <w:r w:rsidR="00E83D9A" w:rsidRPr="00DB76F6">
        <w:t>S</w:t>
      </w:r>
      <w:r w:rsidRPr="00DB76F6">
        <w:t>treptavidin–</w:t>
      </w:r>
      <w:r w:rsidR="00E83D9A" w:rsidRPr="00DB76F6">
        <w:t>P</w:t>
      </w:r>
      <w:r w:rsidRPr="00DB76F6">
        <w:t xml:space="preserve">hycoerythrin was added to each well containing the Detection Antibodies and incubated for 30 min with agitation on a plate shaker at room temperature. After incubation, the well contents were gently removed and washed 2 times using a HMSB. Then, 150 µL of Sheath Fluid was added to all wells, and the beads bound to each cytokine were analyzed with a Bio-Plex 200 instrument (Bio-Rad). </w:t>
      </w:r>
      <w:r w:rsidR="00C94A12" w:rsidRPr="00DB76F6">
        <w:t>The r</w:t>
      </w:r>
      <w:r w:rsidRPr="00DB76F6">
        <w:t xml:space="preserve">aw data (fluorescence intensity) were analyzed using Bio-Plex Manager software (Bio-Rad). </w:t>
      </w:r>
      <w:r w:rsidR="00053504" w:rsidRPr="00DB76F6">
        <w:t>Baicalein (25 µM) was used as a positive control.</w:t>
      </w:r>
    </w:p>
    <w:p w14:paraId="1DDF7074" w14:textId="77777777" w:rsidR="00F623DE" w:rsidRPr="00F2678C" w:rsidRDefault="00F623DE" w:rsidP="00F623DE">
      <w:pPr>
        <w:pStyle w:val="MDPI31text"/>
        <w:ind w:left="0" w:firstLine="0"/>
      </w:pPr>
    </w:p>
    <w:p w14:paraId="1FE9CB8A" w14:textId="2449B2C8" w:rsidR="00F623DE" w:rsidRPr="00F2678C" w:rsidRDefault="00F623DE" w:rsidP="00FF6C72">
      <w:pPr>
        <w:pStyle w:val="MDPI31text"/>
        <w:ind w:left="139" w:hangingChars="71" w:hanging="139"/>
        <w:rPr>
          <w:b/>
        </w:rPr>
      </w:pPr>
      <w:r w:rsidRPr="00F2678C">
        <w:rPr>
          <w:b/>
        </w:rPr>
        <w:t>1.</w:t>
      </w:r>
      <w:r w:rsidR="00772C89">
        <w:rPr>
          <w:b/>
        </w:rPr>
        <w:t>8</w:t>
      </w:r>
      <w:r w:rsidRPr="00F2678C">
        <w:rPr>
          <w:b/>
        </w:rPr>
        <w:t>. Quantitative Real time PCR for mRNA Expression in RAW 264.7 mouse macrophages</w:t>
      </w:r>
    </w:p>
    <w:p w14:paraId="673225DA" w14:textId="3C2C29FE" w:rsidR="00F623DE" w:rsidRPr="00DB76F6" w:rsidRDefault="00F623DE" w:rsidP="00F623DE">
      <w:pPr>
        <w:pStyle w:val="MDPI31text"/>
        <w:ind w:left="0" w:firstLine="0"/>
      </w:pPr>
      <w:r w:rsidRPr="00F2678C">
        <w:t xml:space="preserve">Total RNA of RAW </w:t>
      </w:r>
      <w:r w:rsidRPr="00DB76F6">
        <w:t>264.7 mouse macrophages (1x10</w:t>
      </w:r>
      <w:r w:rsidRPr="00DB76F6">
        <w:rPr>
          <w:vertAlign w:val="superscript"/>
        </w:rPr>
        <w:t>6</w:t>
      </w:r>
      <w:r w:rsidRPr="00DB76F6">
        <w:t xml:space="preserve"> cells/well) was isolated using NucleoSpin RNA kit (Macherey-Nagel, Duren, Germany). Then, cDNA of the RNA samples was synthesized using iScript cDNA Synthesis kit (Bio-Rad) and checked with an Experion Automatic Electrophoresis System (Bio-Rad).</w:t>
      </w:r>
      <w:r w:rsidR="00CB7157" w:rsidRPr="00DB76F6">
        <w:t xml:space="preserve"> </w:t>
      </w:r>
      <w:r w:rsidRPr="00DB76F6">
        <w:t>The transcription</w:t>
      </w:r>
      <w:r w:rsidR="00CB7157" w:rsidRPr="00DB76F6">
        <w:t xml:space="preserve"> levels of</w:t>
      </w:r>
      <w:r w:rsidR="00A308DF" w:rsidRPr="00DB76F6">
        <w:t xml:space="preserve"> </w:t>
      </w:r>
      <w:r w:rsidR="00CB7157" w:rsidRPr="00DB76F6">
        <w:rPr>
          <w:rFonts w:eastAsia="맑은 고딕"/>
          <w:color w:val="auto"/>
          <w:lang w:eastAsia="ko-KR"/>
        </w:rPr>
        <w:t>C/EBP homologous protein (</w:t>
      </w:r>
      <w:r w:rsidR="00CB7157" w:rsidRPr="00DB76F6">
        <w:rPr>
          <w:rFonts w:eastAsia="맑은 고딕"/>
          <w:i/>
          <w:color w:val="auto"/>
          <w:lang w:eastAsia="ko-KR"/>
        </w:rPr>
        <w:t>Chop</w:t>
      </w:r>
      <w:r w:rsidR="00CB7157" w:rsidRPr="00DB76F6">
        <w:rPr>
          <w:rFonts w:eastAsia="맑은 고딕"/>
          <w:color w:val="auto"/>
          <w:lang w:eastAsia="ko-KR"/>
        </w:rPr>
        <w:t xml:space="preserve">), </w:t>
      </w:r>
      <w:r w:rsidR="00CB7157" w:rsidRPr="00DB76F6">
        <w:t>Janus kinase 2 (</w:t>
      </w:r>
      <w:r w:rsidR="00CB7157" w:rsidRPr="00DB76F6">
        <w:rPr>
          <w:i/>
        </w:rPr>
        <w:t>Jak2</w:t>
      </w:r>
      <w:r w:rsidR="00CB7157" w:rsidRPr="00DB76F6">
        <w:t xml:space="preserve">), </w:t>
      </w:r>
      <w:r w:rsidR="00CB7157" w:rsidRPr="00DB76F6">
        <w:rPr>
          <w:rFonts w:eastAsia="맑은 고딕"/>
          <w:color w:val="auto"/>
          <w:lang w:eastAsia="ko-KR"/>
        </w:rPr>
        <w:t>First apoptosis signal receptor (</w:t>
      </w:r>
      <w:r w:rsidR="00CB7157" w:rsidRPr="00DB76F6">
        <w:rPr>
          <w:rFonts w:eastAsia="맑은 고딕"/>
          <w:i/>
          <w:color w:val="auto"/>
          <w:lang w:eastAsia="ko-KR"/>
        </w:rPr>
        <w:t>Fas</w:t>
      </w:r>
      <w:r w:rsidR="00CB7157" w:rsidRPr="00DB76F6">
        <w:rPr>
          <w:rFonts w:eastAsia="맑은 고딕"/>
          <w:color w:val="auto"/>
          <w:lang w:eastAsia="ko-KR"/>
        </w:rPr>
        <w:t>), Nitric oxide synthase 2 (</w:t>
      </w:r>
      <w:r w:rsidR="00CB7157" w:rsidRPr="00DB76F6">
        <w:rPr>
          <w:rFonts w:eastAsia="맑은 고딕"/>
          <w:i/>
          <w:color w:val="auto"/>
          <w:lang w:eastAsia="ko-KR"/>
        </w:rPr>
        <w:t>Nos2</w:t>
      </w:r>
      <w:r w:rsidR="00CB7157" w:rsidRPr="00DB76F6">
        <w:rPr>
          <w:rFonts w:eastAsia="맑은 고딕"/>
          <w:color w:val="auto"/>
          <w:lang w:eastAsia="ko-KR"/>
        </w:rPr>
        <w:t>), Prostaglandin-endoperoxide synthase 2 (</w:t>
      </w:r>
      <w:r w:rsidR="00CB7157" w:rsidRPr="00DB76F6">
        <w:rPr>
          <w:rFonts w:eastAsia="맑은 고딕"/>
          <w:i/>
          <w:color w:val="auto"/>
          <w:lang w:eastAsia="ko-KR"/>
        </w:rPr>
        <w:t>Ptgs2</w:t>
      </w:r>
      <w:r w:rsidR="00CB7157" w:rsidRPr="00DB76F6">
        <w:rPr>
          <w:rFonts w:eastAsia="맑은 고딕"/>
          <w:color w:val="auto"/>
          <w:lang w:eastAsia="ko-KR"/>
        </w:rPr>
        <w:t>), Signal Transducer and Activator of Transcription 1 (</w:t>
      </w:r>
      <w:r w:rsidR="00CB7157" w:rsidRPr="00DB76F6">
        <w:rPr>
          <w:rFonts w:eastAsia="맑은 고딕" w:hint="eastAsia"/>
          <w:i/>
          <w:color w:val="auto"/>
          <w:lang w:eastAsia="ko-KR"/>
        </w:rPr>
        <w:t>S</w:t>
      </w:r>
      <w:r w:rsidR="00CB7157" w:rsidRPr="00DB76F6">
        <w:rPr>
          <w:rFonts w:eastAsia="맑은 고딕"/>
          <w:i/>
          <w:color w:val="auto"/>
          <w:lang w:eastAsia="ko-KR"/>
        </w:rPr>
        <w:t>tat1</w:t>
      </w:r>
      <w:r w:rsidR="00CB7157" w:rsidRPr="00DB76F6">
        <w:rPr>
          <w:rFonts w:eastAsia="맑은 고딕"/>
          <w:color w:val="auto"/>
          <w:lang w:eastAsia="ko-KR"/>
        </w:rPr>
        <w:t xml:space="preserve">), </w:t>
      </w:r>
      <w:r w:rsidR="00CB7157" w:rsidRPr="00DB76F6">
        <w:rPr>
          <w:rFonts w:eastAsia="맑은 고딕"/>
          <w:i/>
          <w:color w:val="auto"/>
          <w:lang w:eastAsia="ko-KR"/>
        </w:rPr>
        <w:t>Stat3</w:t>
      </w:r>
      <w:r w:rsidR="00CB7157" w:rsidRPr="00DB76F6">
        <w:rPr>
          <w:rFonts w:eastAsia="맑은 고딕"/>
          <w:color w:val="auto"/>
          <w:lang w:eastAsia="ko-KR"/>
        </w:rPr>
        <w:t xml:space="preserve">, </w:t>
      </w:r>
      <w:r w:rsidR="00CB7157" w:rsidRPr="00DB76F6">
        <w:rPr>
          <w:rFonts w:eastAsia="맑은 고딕"/>
          <w:i/>
          <w:color w:val="auto"/>
          <w:lang w:eastAsia="ko-KR"/>
        </w:rPr>
        <w:t>c-Jun</w:t>
      </w:r>
      <w:r w:rsidR="00CB7157" w:rsidRPr="00DB76F6">
        <w:rPr>
          <w:rFonts w:eastAsia="맑은 고딕"/>
          <w:color w:val="auto"/>
          <w:lang w:eastAsia="ko-KR"/>
        </w:rPr>
        <w:t xml:space="preserve">, </w:t>
      </w:r>
      <w:r w:rsidR="00CB7157" w:rsidRPr="00DB76F6">
        <w:rPr>
          <w:rFonts w:eastAsia="맑은 고딕"/>
          <w:i/>
          <w:color w:val="auto"/>
          <w:lang w:eastAsia="ko-KR"/>
        </w:rPr>
        <w:t>c-Fos</w:t>
      </w:r>
      <w:r w:rsidR="00CB7157" w:rsidRPr="00DB76F6">
        <w:rPr>
          <w:rFonts w:eastAsia="맑은 고딕"/>
          <w:color w:val="auto"/>
          <w:lang w:eastAsia="ko-KR"/>
        </w:rPr>
        <w:t>, NLR family pyrin domain containing 3 (</w:t>
      </w:r>
      <w:r w:rsidR="00CB7157" w:rsidRPr="00DB76F6">
        <w:rPr>
          <w:rFonts w:eastAsiaTheme="minorEastAsia"/>
          <w:i/>
          <w:color w:val="auto"/>
          <w:szCs w:val="18"/>
          <w:lang w:eastAsia="ko-KR"/>
        </w:rPr>
        <w:t>Nlrp3</w:t>
      </w:r>
      <w:r w:rsidR="00CB7157" w:rsidRPr="00DB76F6">
        <w:rPr>
          <w:rFonts w:eastAsia="맑은 고딕"/>
          <w:i/>
          <w:color w:val="auto"/>
          <w:lang w:eastAsia="ko-KR"/>
        </w:rPr>
        <w:t>)</w:t>
      </w:r>
      <w:r w:rsidR="00CB7157" w:rsidRPr="00DB76F6">
        <w:rPr>
          <w:rFonts w:eastAsia="맑은 고딕"/>
          <w:color w:val="auto"/>
          <w:lang w:eastAsia="ko-KR"/>
        </w:rPr>
        <w:t>, X-box binding protein 1 (</w:t>
      </w:r>
      <w:r w:rsidR="00CB7157" w:rsidRPr="00DB76F6">
        <w:rPr>
          <w:rFonts w:eastAsia="맑은 고딕"/>
          <w:i/>
          <w:color w:val="auto"/>
          <w:lang w:eastAsia="ko-KR"/>
        </w:rPr>
        <w:t>Xbp1</w:t>
      </w:r>
      <w:r w:rsidR="00CB7157" w:rsidRPr="00DB76F6">
        <w:rPr>
          <w:rFonts w:eastAsia="맑은 고딕"/>
          <w:color w:val="auto"/>
          <w:lang w:eastAsia="ko-KR"/>
        </w:rPr>
        <w:t xml:space="preserve">), </w:t>
      </w:r>
      <w:r w:rsidR="00CB7157" w:rsidRPr="00DB76F6">
        <w:t>growth arrest and DNA damage-inducible gene 34 (</w:t>
      </w:r>
      <w:r w:rsidR="00CB7157" w:rsidRPr="00DB76F6">
        <w:rPr>
          <w:i/>
        </w:rPr>
        <w:t>Gadd34</w:t>
      </w:r>
      <w:r w:rsidR="00CB7157" w:rsidRPr="00DB76F6">
        <w:t>), Apoptosis-associated speck-like protein containing a caspase recruitment do-main (</w:t>
      </w:r>
      <w:r w:rsidR="00CB7157" w:rsidRPr="00DB76F6">
        <w:rPr>
          <w:i/>
        </w:rPr>
        <w:t>Asc</w:t>
      </w:r>
      <w:r w:rsidR="00CB7157" w:rsidRPr="00DB76F6">
        <w:t>), protease-activated receptor-2 (</w:t>
      </w:r>
      <w:r w:rsidR="00CB7157" w:rsidRPr="00DB76F6">
        <w:rPr>
          <w:i/>
        </w:rPr>
        <w:t>Par-2</w:t>
      </w:r>
      <w:r w:rsidR="00CB7157" w:rsidRPr="00DB76F6">
        <w:t xml:space="preserve">), </w:t>
      </w:r>
      <w:r w:rsidR="00CB7157" w:rsidRPr="00DB76F6">
        <w:rPr>
          <w:rFonts w:eastAsia="맑은 고딕"/>
          <w:color w:val="auto"/>
          <w:lang w:eastAsia="ko-KR"/>
        </w:rPr>
        <w:t xml:space="preserve">and </w:t>
      </w:r>
      <w:r w:rsidR="00CB7157" w:rsidRPr="00DB76F6">
        <w:rPr>
          <w:rFonts w:eastAsia="맑은 고딕"/>
          <w:i/>
          <w:lang w:eastAsia="ko-KR"/>
        </w:rPr>
        <w:t>β-Actin</w:t>
      </w:r>
      <w:r w:rsidR="00360A4A" w:rsidRPr="00DB76F6">
        <w:t xml:space="preserve"> </w:t>
      </w:r>
      <w:r w:rsidRPr="00DB76F6">
        <w:t>(internal control) w</w:t>
      </w:r>
      <w:r w:rsidR="00CB7157" w:rsidRPr="00DB76F6">
        <w:t>ere</w:t>
      </w:r>
      <w:r w:rsidRPr="00DB76F6">
        <w:t xml:space="preserve"> evaluated with Quantitative real time PCR using Bio-Rad CFX 96 (Bio-Rad). The details of the step-by-step experiment are as follows.</w:t>
      </w:r>
      <w:r w:rsidR="00053504" w:rsidRPr="00DB76F6">
        <w:t xml:space="preserve"> </w:t>
      </w:r>
      <w:r w:rsidR="00345D24" w:rsidRPr="00DB76F6">
        <w:t>Baicalein (25 µM) was used as a positive control.</w:t>
      </w:r>
    </w:p>
    <w:p w14:paraId="09E3094B" w14:textId="3E017A6C" w:rsidR="00F623DE" w:rsidRPr="00DB76F6" w:rsidRDefault="00F623DE" w:rsidP="00F623DE">
      <w:pPr>
        <w:pStyle w:val="MDPI23heading3"/>
        <w:ind w:left="0"/>
        <w:rPr>
          <w:b/>
          <w:color w:val="auto"/>
        </w:rPr>
      </w:pPr>
      <w:r w:rsidRPr="00DB76F6">
        <w:rPr>
          <w:b/>
          <w:color w:val="auto"/>
        </w:rPr>
        <w:t>1.</w:t>
      </w:r>
      <w:r w:rsidR="00772C89" w:rsidRPr="00DB76F6">
        <w:rPr>
          <w:b/>
          <w:color w:val="auto"/>
        </w:rPr>
        <w:t>8</w:t>
      </w:r>
      <w:r w:rsidRPr="00DB76F6">
        <w:rPr>
          <w:b/>
          <w:color w:val="auto"/>
        </w:rPr>
        <w:t>.1. Isolation of RNA</w:t>
      </w:r>
    </w:p>
    <w:p w14:paraId="65E847B4" w14:textId="0CB60676" w:rsidR="00F623DE" w:rsidRPr="00F2678C" w:rsidRDefault="00F623DE" w:rsidP="00F623DE">
      <w:pPr>
        <w:pStyle w:val="MDPI31text"/>
        <w:ind w:left="0" w:firstLine="0"/>
        <w:rPr>
          <w:color w:val="auto"/>
        </w:rPr>
      </w:pPr>
      <w:r w:rsidRPr="00DB76F6">
        <w:rPr>
          <w:color w:val="auto"/>
        </w:rPr>
        <w:t xml:space="preserve">RAW 264.7 mouse macrophages were incubated </w:t>
      </w:r>
      <w:r w:rsidRPr="00DB76F6">
        <w:t xml:space="preserve">with </w:t>
      </w:r>
      <w:r w:rsidR="00345D24" w:rsidRPr="00DB76F6">
        <w:t>LPS and/or geniposide</w:t>
      </w:r>
      <w:r w:rsidRPr="00DB76F6">
        <w:t xml:space="preserve"> </w:t>
      </w:r>
      <w:r w:rsidRPr="00DB76F6">
        <w:rPr>
          <w:color w:val="auto"/>
        </w:rPr>
        <w:t>for 18 h in 6-well plates (1x10</w:t>
      </w:r>
      <w:r w:rsidRPr="00DB76F6">
        <w:rPr>
          <w:color w:val="auto"/>
          <w:vertAlign w:val="superscript"/>
        </w:rPr>
        <w:t>6</w:t>
      </w:r>
      <w:r w:rsidRPr="00DB76F6">
        <w:rPr>
          <w:color w:val="auto"/>
        </w:rPr>
        <w:t xml:space="preserve"> cells/well). </w:t>
      </w:r>
      <w:r w:rsidRPr="00DB76F6">
        <w:t xml:space="preserve">Baicalein (25 µM), a well-known anti-inflammatory flavonoid, was used as a positive control. </w:t>
      </w:r>
      <w:r w:rsidRPr="00DB76F6">
        <w:rPr>
          <w:color w:val="auto"/>
        </w:rPr>
        <w:t xml:space="preserve">After 18 h </w:t>
      </w:r>
      <w:r w:rsidR="00C94A12" w:rsidRPr="00DB76F6">
        <w:rPr>
          <w:color w:val="auto"/>
        </w:rPr>
        <w:t xml:space="preserve">of </w:t>
      </w:r>
      <w:r w:rsidRPr="00DB76F6">
        <w:rPr>
          <w:color w:val="auto"/>
        </w:rPr>
        <w:t xml:space="preserve">incubation, </w:t>
      </w:r>
      <w:r w:rsidR="00C94A12" w:rsidRPr="00DB76F6">
        <w:rPr>
          <w:color w:val="auto"/>
        </w:rPr>
        <w:lastRenderedPageBreak/>
        <w:t xml:space="preserve">the </w:t>
      </w:r>
      <w:r w:rsidRPr="00DB76F6">
        <w:rPr>
          <w:color w:val="auto"/>
        </w:rPr>
        <w:t xml:space="preserve">total RNA </w:t>
      </w:r>
      <w:r w:rsidR="00C94A12" w:rsidRPr="00DB76F6">
        <w:rPr>
          <w:color w:val="auto"/>
        </w:rPr>
        <w:t>in</w:t>
      </w:r>
      <w:r w:rsidRPr="00DB76F6">
        <w:rPr>
          <w:color w:val="auto"/>
        </w:rPr>
        <w:t xml:space="preserve"> each well was isolated using NucleoSpin RNA kit (Macherey-Nagel, Duren, Germany). Briefly, 350 μL Lysis Buffer RA1 and 3.5 μL β-mercaptoethanol w</w:t>
      </w:r>
      <w:r w:rsidR="00C94A12" w:rsidRPr="00DB76F6">
        <w:rPr>
          <w:color w:val="auto"/>
        </w:rPr>
        <w:t>ere</w:t>
      </w:r>
      <w:r w:rsidRPr="00DB76F6">
        <w:rPr>
          <w:color w:val="auto"/>
        </w:rPr>
        <w:t xml:space="preserve"> added</w:t>
      </w:r>
      <w:r w:rsidRPr="00F2678C">
        <w:rPr>
          <w:color w:val="auto"/>
        </w:rPr>
        <w:t xml:space="preserve"> to the cell pellet and </w:t>
      </w:r>
      <w:r w:rsidR="00C94A12" w:rsidRPr="00F2678C">
        <w:rPr>
          <w:color w:val="auto"/>
        </w:rPr>
        <w:t xml:space="preserve">vigorously </w:t>
      </w:r>
      <w:r w:rsidRPr="00F2678C">
        <w:rPr>
          <w:color w:val="auto"/>
        </w:rPr>
        <w:t xml:space="preserve">vortexed to lyse cells. Lysate was cleared by filtration using a NucleoSpin® Filter, then 350 μL ethanol (70%) was added, and mixed by vortexing. The lysate was loaded into the NucleoSpin® RNA Column, and 350 μL Membrane Desalting Buffer was added and centrifuged. 95 μL DNase reaction mixture was applied directly to the center of the silica membrane of the column, followed by incubation at room temperature for 15 min. </w:t>
      </w:r>
      <w:r w:rsidR="00DF3624" w:rsidRPr="00F2678C">
        <w:rPr>
          <w:color w:val="auto"/>
        </w:rPr>
        <w:t>The s</w:t>
      </w:r>
      <w:r w:rsidRPr="00F2678C">
        <w:rPr>
          <w:color w:val="auto"/>
        </w:rPr>
        <w:t>amples were washed with Wash Buffer RA2 and Wash Buffer RA3, and silica membrane was dried. RNA was eluted in 60 μL RNase-free water and centrifuged.</w:t>
      </w:r>
    </w:p>
    <w:p w14:paraId="1B13ACD8" w14:textId="51191B56" w:rsidR="00F623DE" w:rsidRPr="00F2678C" w:rsidRDefault="00F623DE" w:rsidP="00F623DE">
      <w:pPr>
        <w:pStyle w:val="MDPI23heading3"/>
        <w:ind w:left="0"/>
        <w:rPr>
          <w:b/>
          <w:color w:val="auto"/>
        </w:rPr>
      </w:pPr>
      <w:r w:rsidRPr="00F2678C">
        <w:rPr>
          <w:b/>
          <w:color w:val="auto"/>
        </w:rPr>
        <w:t>1.</w:t>
      </w:r>
      <w:r w:rsidR="00772C89">
        <w:rPr>
          <w:b/>
          <w:color w:val="auto"/>
        </w:rPr>
        <w:t>8</w:t>
      </w:r>
      <w:r w:rsidRPr="00F2678C">
        <w:rPr>
          <w:b/>
          <w:color w:val="auto"/>
        </w:rPr>
        <w:t>.2. Determination of RNA concentration</w:t>
      </w:r>
    </w:p>
    <w:p w14:paraId="5CDA95E3" w14:textId="113D9E36" w:rsidR="00F623DE" w:rsidRPr="00F2678C" w:rsidRDefault="00F623DE" w:rsidP="00F623DE">
      <w:pPr>
        <w:pStyle w:val="MDPI31text"/>
        <w:ind w:left="0" w:firstLine="0"/>
        <w:rPr>
          <w:color w:val="auto"/>
        </w:rPr>
      </w:pPr>
      <w:r w:rsidRPr="00F2678C">
        <w:rPr>
          <w:color w:val="auto"/>
        </w:rPr>
        <w:t xml:space="preserve">RNA concentration was measured using Experion RNA StdSens Analysis kit (Bio-Rad) with the Experion Automatic Electrophoresis System (Bio-Rad). First, the electrodes were cleaned using a cleaning chip filled with 900 μL DEPC-treated water. Then, the Gel-Stain solution was prepared, 9 μL </w:t>
      </w:r>
      <w:r w:rsidR="00DF3624" w:rsidRPr="00F2678C">
        <w:rPr>
          <w:color w:val="auto"/>
        </w:rPr>
        <w:t xml:space="preserve">of the solution </w:t>
      </w:r>
      <w:r w:rsidRPr="00F2678C">
        <w:rPr>
          <w:color w:val="auto"/>
        </w:rPr>
        <w:t xml:space="preserve">was added into labeled wells, and the chip was primed. Samples and RNA ladder were loaded into the chip, which was vortexed using the Experion vortex station for 1 min. </w:t>
      </w:r>
      <w:r w:rsidR="00345D24">
        <w:rPr>
          <w:color w:val="auto"/>
        </w:rPr>
        <w:t>Finally</w:t>
      </w:r>
      <w:r w:rsidR="00DF3624" w:rsidRPr="00F2678C">
        <w:rPr>
          <w:color w:val="auto"/>
        </w:rPr>
        <w:t>,</w:t>
      </w:r>
      <w:r w:rsidRPr="00F2678C">
        <w:rPr>
          <w:color w:val="auto"/>
        </w:rPr>
        <w:t xml:space="preserve"> the chip was loaded into the electrophoresis platform and the RNA StdSens Analysis program was run.</w:t>
      </w:r>
    </w:p>
    <w:p w14:paraId="48B500E1" w14:textId="7226E967" w:rsidR="00F623DE" w:rsidRPr="00F2678C" w:rsidRDefault="00F623DE" w:rsidP="00F623DE">
      <w:pPr>
        <w:pStyle w:val="MDPI23heading3"/>
        <w:ind w:left="0"/>
        <w:rPr>
          <w:b/>
          <w:color w:val="auto"/>
        </w:rPr>
      </w:pPr>
      <w:r w:rsidRPr="00F2678C">
        <w:rPr>
          <w:b/>
          <w:color w:val="auto"/>
        </w:rPr>
        <w:t>1.</w:t>
      </w:r>
      <w:r w:rsidR="00772C89">
        <w:rPr>
          <w:b/>
          <w:color w:val="auto"/>
        </w:rPr>
        <w:t>8</w:t>
      </w:r>
      <w:r w:rsidRPr="00F2678C">
        <w:rPr>
          <w:b/>
          <w:color w:val="auto"/>
        </w:rPr>
        <w:t xml:space="preserve">.3. </w:t>
      </w:r>
      <w:proofErr w:type="gramStart"/>
      <w:r w:rsidRPr="00F2678C">
        <w:rPr>
          <w:b/>
          <w:color w:val="auto"/>
        </w:rPr>
        <w:t>cDNA</w:t>
      </w:r>
      <w:proofErr w:type="gramEnd"/>
      <w:r w:rsidRPr="00F2678C">
        <w:rPr>
          <w:b/>
          <w:color w:val="auto"/>
        </w:rPr>
        <w:t xml:space="preserve"> synthesis</w:t>
      </w:r>
    </w:p>
    <w:p w14:paraId="62EF824A" w14:textId="095599A1" w:rsidR="00F623DE" w:rsidRPr="00F2678C" w:rsidRDefault="00F623DE" w:rsidP="00F623DE">
      <w:pPr>
        <w:pStyle w:val="MDPI31text"/>
        <w:ind w:left="0" w:firstLine="0"/>
        <w:rPr>
          <w:color w:val="auto"/>
        </w:rPr>
      </w:pPr>
      <w:proofErr w:type="gramStart"/>
      <w:r w:rsidRPr="00F2678C">
        <w:rPr>
          <w:color w:val="auto"/>
        </w:rPr>
        <w:t>cDNA</w:t>
      </w:r>
      <w:proofErr w:type="gramEnd"/>
      <w:r w:rsidRPr="00F2678C">
        <w:rPr>
          <w:color w:val="auto"/>
        </w:rPr>
        <w:t xml:space="preserve"> of the RNA samples was produced using iScript cDNA Synthesis kit (Bio-Rad). Briefly, 20 μL complete reaction mixes were prepared </w:t>
      </w:r>
      <w:r w:rsidR="00C7253B" w:rsidRPr="00F2678C">
        <w:rPr>
          <w:color w:val="auto"/>
        </w:rPr>
        <w:t>using</w:t>
      </w:r>
      <w:r w:rsidRPr="00F2678C">
        <w:rPr>
          <w:color w:val="auto"/>
        </w:rPr>
        <w:t xml:space="preserve"> 5x iScript Reaction Mix (4 μL), iScript Reverse Transcriptase (1 μL), Nuclease-free water (variable), and RNA template (variable, 1 μg total RNA). The reaction mix (20 μL) was incubated in a thermal cycler (C1000 Thermal Cycler, Bio-Rad) according to the manufacturer’s protocol (priming at 25°C for 5 min, reverse transcription at 46°C for 20 min, and RT inactivation at 95°C for 1 min).</w:t>
      </w:r>
    </w:p>
    <w:p w14:paraId="196646D3" w14:textId="4AC0965D" w:rsidR="00F623DE" w:rsidRPr="00F2678C" w:rsidRDefault="00F623DE" w:rsidP="00F623DE">
      <w:pPr>
        <w:pStyle w:val="MDPI23heading3"/>
        <w:ind w:left="0"/>
        <w:rPr>
          <w:b/>
          <w:color w:val="auto"/>
        </w:rPr>
      </w:pPr>
      <w:r w:rsidRPr="00F2678C">
        <w:rPr>
          <w:b/>
          <w:color w:val="auto"/>
        </w:rPr>
        <w:t>1.</w:t>
      </w:r>
      <w:r w:rsidR="00772C89">
        <w:rPr>
          <w:b/>
          <w:color w:val="auto"/>
        </w:rPr>
        <w:t>8</w:t>
      </w:r>
      <w:r w:rsidRPr="00F2678C">
        <w:rPr>
          <w:b/>
          <w:color w:val="auto"/>
        </w:rPr>
        <w:t xml:space="preserve">.4. </w:t>
      </w:r>
      <w:r w:rsidRPr="00F2678C">
        <w:rPr>
          <w:b/>
        </w:rPr>
        <w:t xml:space="preserve">Quantitative Real time </w:t>
      </w:r>
      <w:r w:rsidRPr="00F2678C">
        <w:rPr>
          <w:b/>
          <w:color w:val="auto"/>
        </w:rPr>
        <w:t>PCR analysis</w:t>
      </w:r>
    </w:p>
    <w:p w14:paraId="03B7BC63" w14:textId="7942DE8C" w:rsidR="00F623DE" w:rsidRPr="00F2678C" w:rsidRDefault="00F623DE" w:rsidP="00F623DE">
      <w:pPr>
        <w:pStyle w:val="MDPI31text"/>
        <w:ind w:left="0" w:firstLine="0"/>
      </w:pPr>
      <w:r w:rsidRPr="00F2678C">
        <w:rPr>
          <w:color w:val="auto"/>
        </w:rPr>
        <w:t xml:space="preserve">Gene expression was measured using quantitative polymerase chain reaction with </w:t>
      </w:r>
      <w:proofErr w:type="gramStart"/>
      <w:r w:rsidRPr="00F2678C">
        <w:rPr>
          <w:color w:val="auto"/>
        </w:rPr>
        <w:t>iQ</w:t>
      </w:r>
      <w:proofErr w:type="gramEnd"/>
      <w:r w:rsidRPr="00F2678C">
        <w:rPr>
          <w:color w:val="auto"/>
        </w:rPr>
        <w:t xml:space="preserve"> SYBR Green Supermix (Bio-Rad) using the CFX96 Real-Time PCR Detection System (Bio-Rad). Briefly, a master mix was prepared for all reactions by adding </w:t>
      </w:r>
      <w:proofErr w:type="gramStart"/>
      <w:r w:rsidRPr="00F2678C">
        <w:rPr>
          <w:color w:val="auto"/>
        </w:rPr>
        <w:t>iQ</w:t>
      </w:r>
      <w:proofErr w:type="gramEnd"/>
      <w:r w:rsidRPr="00F2678C">
        <w:rPr>
          <w:color w:val="auto"/>
        </w:rPr>
        <w:t xml:space="preserve"> SYBR Green Supermix and Forward/Reverse primers for each target gene. This master mix was thoroughly mixed to ensure homogeneity, and 7 μL was dispensed into the wells of a qPCR plate. </w:t>
      </w:r>
      <w:r w:rsidR="0078179B" w:rsidRPr="00F2678C">
        <w:rPr>
          <w:color w:val="auto"/>
        </w:rPr>
        <w:t xml:space="preserve">Next, </w:t>
      </w:r>
      <w:r w:rsidRPr="00F2678C">
        <w:rPr>
          <w:color w:val="auto"/>
        </w:rPr>
        <w:t>3 μL of cDNA was added to each well; any air bubbles in the vessel bottom were removed, and the PCR plate was loaded into the real time PCR instrument. PCR was performed using the following protocol: denaturation of DNA at 95°C for 3 min, followed by 40 cycles of 95°C for 10 sec and 55°C for 30 sec. The 2</w:t>
      </w:r>
      <w:r w:rsidRPr="00F2678C">
        <w:rPr>
          <w:color w:val="auto"/>
          <w:vertAlign w:val="superscript"/>
        </w:rPr>
        <w:t>–</w:t>
      </w:r>
      <w:proofErr w:type="spellStart"/>
      <w:r w:rsidRPr="00F2678C">
        <w:rPr>
          <w:color w:val="auto"/>
          <w:vertAlign w:val="superscript"/>
        </w:rPr>
        <w:t>Δ∆Ct</w:t>
      </w:r>
      <w:proofErr w:type="spellEnd"/>
      <w:r w:rsidRPr="00F2678C">
        <w:rPr>
          <w:color w:val="auto"/>
        </w:rPr>
        <w:t xml:space="preserve"> cycle threshold method was used to normalize the relative mRNA expression levels to the internal </w:t>
      </w:r>
      <w:r w:rsidRPr="00DB76F6">
        <w:rPr>
          <w:color w:val="auto"/>
        </w:rPr>
        <w:t xml:space="preserve">control, </w:t>
      </w:r>
      <w:r w:rsidRPr="00DB76F6">
        <w:rPr>
          <w:i/>
          <w:color w:val="auto"/>
        </w:rPr>
        <w:t>β-actin</w:t>
      </w:r>
      <w:r w:rsidRPr="00DB76F6">
        <w:rPr>
          <w:color w:val="auto"/>
        </w:rPr>
        <w:t xml:space="preserve">. </w:t>
      </w:r>
      <w:r w:rsidR="0078179B" w:rsidRPr="00DB76F6">
        <w:rPr>
          <w:color w:val="auto"/>
        </w:rPr>
        <w:t>Table 1 lists t</w:t>
      </w:r>
      <w:r w:rsidRPr="00DB76F6">
        <w:rPr>
          <w:color w:val="auto"/>
        </w:rPr>
        <w:t>he primers used in</w:t>
      </w:r>
      <w:r w:rsidRPr="00F2678C">
        <w:rPr>
          <w:color w:val="auto"/>
        </w:rPr>
        <w:t xml:space="preserve"> this assay.</w:t>
      </w:r>
    </w:p>
    <w:p w14:paraId="3AC2CA21" w14:textId="77777777" w:rsidR="00F623DE" w:rsidRPr="00F2678C" w:rsidRDefault="00F623DE" w:rsidP="00F623DE">
      <w:pPr>
        <w:pStyle w:val="MDPI31text"/>
        <w:spacing w:before="240" w:after="120"/>
      </w:pPr>
      <w:r w:rsidRPr="00F2678C">
        <w:rPr>
          <w:b/>
        </w:rPr>
        <w:t xml:space="preserve">Table 1. </w:t>
      </w:r>
      <w:r w:rsidRPr="00F2678C">
        <w:t>Primers used in quantitative real time PCR</w:t>
      </w:r>
    </w:p>
    <w:tbl>
      <w:tblPr>
        <w:tblW w:w="10079" w:type="dxa"/>
        <w:jc w:val="center"/>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1142"/>
        <w:gridCol w:w="3390"/>
        <w:gridCol w:w="727"/>
        <w:gridCol w:w="4820"/>
      </w:tblGrid>
      <w:tr w:rsidR="00F623DE" w:rsidRPr="00F2678C" w14:paraId="1305FE3D" w14:textId="77777777" w:rsidTr="007A5251">
        <w:trPr>
          <w:trHeight w:val="326"/>
          <w:jc w:val="center"/>
        </w:trPr>
        <w:tc>
          <w:tcPr>
            <w:tcW w:w="1142" w:type="dxa"/>
            <w:tcBorders>
              <w:bottom w:val="single" w:sz="4" w:space="0" w:color="auto"/>
            </w:tcBorders>
            <w:shd w:val="clear" w:color="auto" w:fill="auto"/>
            <w:vAlign w:val="center"/>
          </w:tcPr>
          <w:p w14:paraId="5DD11540" w14:textId="77777777" w:rsidR="00F623DE" w:rsidRPr="00F2678C" w:rsidRDefault="00F623DE" w:rsidP="00025143">
            <w:pPr>
              <w:pStyle w:val="MDPI42tablebody"/>
              <w:spacing w:line="240" w:lineRule="auto"/>
              <w:ind w:left="426"/>
              <w:rPr>
                <w:b/>
                <w:snapToGrid/>
              </w:rPr>
            </w:pPr>
            <w:r w:rsidRPr="00F2678C">
              <w:rPr>
                <w:b/>
                <w:snapToGrid/>
              </w:rPr>
              <w:t>Name</w:t>
            </w:r>
            <w:r w:rsidRPr="00F2678C">
              <w:rPr>
                <w:vertAlign w:val="superscript"/>
              </w:rPr>
              <w:t>1</w:t>
            </w:r>
          </w:p>
        </w:tc>
        <w:tc>
          <w:tcPr>
            <w:tcW w:w="3390" w:type="dxa"/>
            <w:tcBorders>
              <w:bottom w:val="single" w:sz="4" w:space="0" w:color="auto"/>
            </w:tcBorders>
            <w:shd w:val="clear" w:color="auto" w:fill="auto"/>
            <w:vAlign w:val="center"/>
          </w:tcPr>
          <w:p w14:paraId="39291A1B" w14:textId="77777777" w:rsidR="00F623DE" w:rsidRPr="00F2678C" w:rsidRDefault="00F623DE" w:rsidP="00025143">
            <w:pPr>
              <w:pStyle w:val="MDPI42tablebody"/>
              <w:spacing w:line="240" w:lineRule="auto"/>
              <w:ind w:left="426"/>
              <w:rPr>
                <w:b/>
                <w:snapToGrid/>
              </w:rPr>
            </w:pPr>
            <w:r w:rsidRPr="00F2678C">
              <w:rPr>
                <w:b/>
                <w:snapToGrid/>
                <w:color w:val="auto"/>
              </w:rPr>
              <w:t xml:space="preserve">        Forward Primer (5′–3′)</w:t>
            </w:r>
          </w:p>
        </w:tc>
        <w:tc>
          <w:tcPr>
            <w:tcW w:w="5547" w:type="dxa"/>
            <w:gridSpan w:val="2"/>
            <w:tcBorders>
              <w:bottom w:val="single" w:sz="4" w:space="0" w:color="auto"/>
            </w:tcBorders>
            <w:shd w:val="clear" w:color="auto" w:fill="auto"/>
            <w:vAlign w:val="center"/>
          </w:tcPr>
          <w:p w14:paraId="78DB6030" w14:textId="77777777" w:rsidR="00F623DE" w:rsidRPr="00F2678C" w:rsidRDefault="00F623DE" w:rsidP="00025143">
            <w:pPr>
              <w:pStyle w:val="MDPI42tablebody"/>
              <w:spacing w:line="240" w:lineRule="auto"/>
              <w:ind w:left="426"/>
              <w:rPr>
                <w:b/>
                <w:snapToGrid/>
              </w:rPr>
            </w:pPr>
            <w:r w:rsidRPr="00F2678C">
              <w:rPr>
                <w:b/>
                <w:snapToGrid/>
                <w:color w:val="auto"/>
              </w:rPr>
              <w:t xml:space="preserve">       Reverse Primer (5′–3′)</w:t>
            </w:r>
          </w:p>
        </w:tc>
      </w:tr>
      <w:tr w:rsidR="00F623DE" w:rsidRPr="00F2678C" w14:paraId="4B27CD05" w14:textId="77777777" w:rsidTr="007A5251">
        <w:trPr>
          <w:trHeight w:val="326"/>
          <w:jc w:val="center"/>
        </w:trPr>
        <w:tc>
          <w:tcPr>
            <w:tcW w:w="1142" w:type="dxa"/>
            <w:shd w:val="clear" w:color="auto" w:fill="auto"/>
            <w:vAlign w:val="center"/>
          </w:tcPr>
          <w:p w14:paraId="67F713BE" w14:textId="77777777" w:rsidR="00F623DE" w:rsidRPr="00F2678C" w:rsidRDefault="00F623DE" w:rsidP="00025143">
            <w:pPr>
              <w:pStyle w:val="MDPI42tablebody"/>
              <w:spacing w:line="240" w:lineRule="auto"/>
              <w:ind w:left="426"/>
            </w:pPr>
            <w:r w:rsidRPr="00F2678C">
              <w:rPr>
                <w:rFonts w:eastAsia="맑은 고딕"/>
                <w:i/>
                <w:color w:val="auto"/>
                <w:szCs w:val="18"/>
                <w:lang w:eastAsia="ko-KR"/>
              </w:rPr>
              <w:t>Chop</w:t>
            </w:r>
          </w:p>
        </w:tc>
        <w:tc>
          <w:tcPr>
            <w:tcW w:w="4117" w:type="dxa"/>
            <w:gridSpan w:val="2"/>
            <w:shd w:val="clear" w:color="auto" w:fill="auto"/>
            <w:vAlign w:val="center"/>
          </w:tcPr>
          <w:p w14:paraId="0CBD58F6" w14:textId="77777777" w:rsidR="00F623DE" w:rsidRPr="00F2678C" w:rsidRDefault="00F623DE" w:rsidP="00025143">
            <w:pPr>
              <w:pStyle w:val="MDPI42tablebody"/>
              <w:spacing w:line="240" w:lineRule="auto"/>
              <w:ind w:left="426"/>
              <w:rPr>
                <w:sz w:val="18"/>
                <w:szCs w:val="18"/>
              </w:rPr>
            </w:pPr>
            <w:r w:rsidRPr="00F2678C">
              <w:rPr>
                <w:color w:val="auto"/>
                <w:sz w:val="18"/>
                <w:szCs w:val="18"/>
              </w:rPr>
              <w:t>CCACCACACCTGAAAGCAG</w:t>
            </w:r>
          </w:p>
        </w:tc>
        <w:tc>
          <w:tcPr>
            <w:tcW w:w="4820" w:type="dxa"/>
            <w:shd w:val="clear" w:color="auto" w:fill="auto"/>
            <w:vAlign w:val="center"/>
          </w:tcPr>
          <w:p w14:paraId="570A8F49" w14:textId="77777777" w:rsidR="00F623DE" w:rsidRPr="00F2678C" w:rsidRDefault="00F623DE" w:rsidP="00025143">
            <w:pPr>
              <w:pStyle w:val="MDPI42tablebody"/>
              <w:spacing w:line="240" w:lineRule="auto"/>
              <w:ind w:left="426"/>
              <w:rPr>
                <w:sz w:val="18"/>
                <w:szCs w:val="18"/>
              </w:rPr>
            </w:pPr>
            <w:r w:rsidRPr="00F2678C">
              <w:rPr>
                <w:color w:val="auto"/>
                <w:sz w:val="18"/>
                <w:szCs w:val="18"/>
              </w:rPr>
              <w:t>TCCTCATACCAGGCTTCCA</w:t>
            </w:r>
          </w:p>
        </w:tc>
      </w:tr>
      <w:tr w:rsidR="000423DE" w:rsidRPr="00F2678C" w14:paraId="5BC5BEED" w14:textId="77777777" w:rsidTr="007A5251">
        <w:trPr>
          <w:trHeight w:val="326"/>
          <w:jc w:val="center"/>
        </w:trPr>
        <w:tc>
          <w:tcPr>
            <w:tcW w:w="1142" w:type="dxa"/>
            <w:shd w:val="clear" w:color="auto" w:fill="auto"/>
            <w:vAlign w:val="center"/>
          </w:tcPr>
          <w:p w14:paraId="50F10910" w14:textId="620E5C87" w:rsidR="000423DE" w:rsidRPr="00F2678C" w:rsidRDefault="007A5251" w:rsidP="007A5251">
            <w:pPr>
              <w:pStyle w:val="MDPI42tablebody"/>
              <w:autoSpaceDE w:val="0"/>
              <w:autoSpaceDN w:val="0"/>
              <w:spacing w:line="240" w:lineRule="auto"/>
              <w:ind w:left="426"/>
              <w:rPr>
                <w:rFonts w:eastAsia="맑은 고딕"/>
                <w:i/>
                <w:color w:val="auto"/>
                <w:szCs w:val="18"/>
                <w:lang w:eastAsia="ko-KR"/>
              </w:rPr>
            </w:pPr>
            <w:r>
              <w:rPr>
                <w:rFonts w:eastAsia="맑은 고딕"/>
                <w:i/>
                <w:color w:val="auto"/>
                <w:szCs w:val="18"/>
                <w:lang w:eastAsia="ko-KR"/>
              </w:rPr>
              <w:t>Jak2</w:t>
            </w:r>
          </w:p>
        </w:tc>
        <w:tc>
          <w:tcPr>
            <w:tcW w:w="4117" w:type="dxa"/>
            <w:gridSpan w:val="2"/>
            <w:shd w:val="clear" w:color="auto" w:fill="auto"/>
            <w:vAlign w:val="center"/>
          </w:tcPr>
          <w:p w14:paraId="49F59942" w14:textId="142CDF24" w:rsidR="000423DE" w:rsidRPr="00F2678C" w:rsidRDefault="007A5251" w:rsidP="00025143">
            <w:pPr>
              <w:ind w:left="426"/>
              <w:jc w:val="center"/>
              <w:rPr>
                <w:color w:val="auto"/>
                <w:sz w:val="18"/>
                <w:szCs w:val="18"/>
              </w:rPr>
            </w:pPr>
            <w:r w:rsidRPr="00A6514C">
              <w:rPr>
                <w:sz w:val="18"/>
                <w:szCs w:val="18"/>
              </w:rPr>
              <w:t>TTGGTTTTGAATTATGGTGTCTGT</w:t>
            </w:r>
          </w:p>
        </w:tc>
        <w:tc>
          <w:tcPr>
            <w:tcW w:w="4820" w:type="dxa"/>
            <w:shd w:val="clear" w:color="auto" w:fill="auto"/>
            <w:vAlign w:val="center"/>
          </w:tcPr>
          <w:p w14:paraId="6E0548C6" w14:textId="43197061" w:rsidR="000423DE" w:rsidRPr="00F2678C" w:rsidRDefault="007A5251" w:rsidP="00025143">
            <w:pPr>
              <w:ind w:left="426"/>
              <w:jc w:val="center"/>
              <w:rPr>
                <w:color w:val="auto"/>
                <w:sz w:val="18"/>
                <w:szCs w:val="18"/>
              </w:rPr>
            </w:pPr>
            <w:r w:rsidRPr="00A6514C">
              <w:rPr>
                <w:sz w:val="18"/>
                <w:szCs w:val="18"/>
              </w:rPr>
              <w:t>TCCAAATTTTACAAATTCTTGAACC</w:t>
            </w:r>
          </w:p>
        </w:tc>
      </w:tr>
      <w:tr w:rsidR="007A5251" w:rsidRPr="00F2678C" w14:paraId="5CB41058" w14:textId="77777777" w:rsidTr="007A5251">
        <w:trPr>
          <w:trHeight w:val="326"/>
          <w:jc w:val="center"/>
        </w:trPr>
        <w:tc>
          <w:tcPr>
            <w:tcW w:w="1142" w:type="dxa"/>
            <w:shd w:val="clear" w:color="auto" w:fill="auto"/>
            <w:vAlign w:val="center"/>
          </w:tcPr>
          <w:p w14:paraId="5056A866" w14:textId="77777777" w:rsidR="007A5251" w:rsidRPr="00F2678C" w:rsidRDefault="007A5251" w:rsidP="00B130AD">
            <w:pPr>
              <w:pStyle w:val="MDPI42tablebody"/>
              <w:autoSpaceDE w:val="0"/>
              <w:autoSpaceDN w:val="0"/>
              <w:spacing w:line="240" w:lineRule="auto"/>
              <w:ind w:left="426"/>
              <w:rPr>
                <w:rFonts w:eastAsia="맑은 고딕"/>
                <w:i/>
                <w:color w:val="auto"/>
                <w:szCs w:val="18"/>
                <w:lang w:eastAsia="ko-KR"/>
              </w:rPr>
            </w:pPr>
            <w:r w:rsidRPr="00F2678C">
              <w:rPr>
                <w:rFonts w:eastAsia="맑은 고딕"/>
                <w:i/>
                <w:color w:val="auto"/>
                <w:szCs w:val="18"/>
                <w:lang w:eastAsia="ko-KR"/>
              </w:rPr>
              <w:t>Fas</w:t>
            </w:r>
          </w:p>
        </w:tc>
        <w:tc>
          <w:tcPr>
            <w:tcW w:w="4117" w:type="dxa"/>
            <w:gridSpan w:val="2"/>
            <w:shd w:val="clear" w:color="auto" w:fill="auto"/>
            <w:vAlign w:val="center"/>
          </w:tcPr>
          <w:p w14:paraId="27872653" w14:textId="77777777" w:rsidR="007A5251" w:rsidRPr="00F2678C" w:rsidRDefault="007A5251" w:rsidP="00B130AD">
            <w:pPr>
              <w:ind w:left="426"/>
              <w:jc w:val="center"/>
              <w:rPr>
                <w:color w:val="auto"/>
                <w:sz w:val="18"/>
                <w:szCs w:val="18"/>
              </w:rPr>
            </w:pPr>
            <w:r w:rsidRPr="00F2678C">
              <w:rPr>
                <w:color w:val="auto"/>
                <w:sz w:val="18"/>
                <w:szCs w:val="18"/>
              </w:rPr>
              <w:t>CGCTGTTTTCCCTTGCTG</w:t>
            </w:r>
          </w:p>
        </w:tc>
        <w:tc>
          <w:tcPr>
            <w:tcW w:w="4820" w:type="dxa"/>
            <w:shd w:val="clear" w:color="auto" w:fill="auto"/>
            <w:vAlign w:val="center"/>
          </w:tcPr>
          <w:p w14:paraId="06D60CC2" w14:textId="77777777" w:rsidR="007A5251" w:rsidRPr="00F2678C" w:rsidRDefault="007A5251" w:rsidP="00B130AD">
            <w:pPr>
              <w:ind w:left="426"/>
              <w:jc w:val="center"/>
              <w:rPr>
                <w:color w:val="auto"/>
                <w:sz w:val="18"/>
                <w:szCs w:val="18"/>
              </w:rPr>
            </w:pPr>
            <w:r w:rsidRPr="00F2678C">
              <w:rPr>
                <w:color w:val="auto"/>
                <w:sz w:val="18"/>
                <w:szCs w:val="18"/>
              </w:rPr>
              <w:t>CCTTGAGTATGAACTCTTAACTGTGAG</w:t>
            </w:r>
          </w:p>
        </w:tc>
      </w:tr>
      <w:tr w:rsidR="000423DE" w:rsidRPr="00F2678C" w14:paraId="16A2171C" w14:textId="77777777" w:rsidTr="007A5251">
        <w:trPr>
          <w:trHeight w:val="326"/>
          <w:jc w:val="center"/>
        </w:trPr>
        <w:tc>
          <w:tcPr>
            <w:tcW w:w="1142" w:type="dxa"/>
            <w:shd w:val="clear" w:color="auto" w:fill="auto"/>
            <w:vAlign w:val="center"/>
          </w:tcPr>
          <w:p w14:paraId="4C3A729F" w14:textId="4A1E7DC6" w:rsidR="000423DE" w:rsidRPr="00F2678C" w:rsidRDefault="000423DE" w:rsidP="00025143">
            <w:pPr>
              <w:pStyle w:val="MDPI42tablebody"/>
              <w:autoSpaceDE w:val="0"/>
              <w:autoSpaceDN w:val="0"/>
              <w:spacing w:line="240" w:lineRule="auto"/>
              <w:ind w:left="426"/>
              <w:rPr>
                <w:rFonts w:eastAsia="맑은 고딕"/>
                <w:i/>
                <w:color w:val="auto"/>
                <w:szCs w:val="18"/>
                <w:lang w:eastAsia="ko-KR"/>
              </w:rPr>
            </w:pPr>
            <w:r w:rsidRPr="00F2678C">
              <w:rPr>
                <w:rFonts w:eastAsiaTheme="minorEastAsia" w:hint="eastAsia"/>
                <w:i/>
                <w:color w:val="auto"/>
                <w:szCs w:val="18"/>
                <w:lang w:eastAsia="ko-KR"/>
              </w:rPr>
              <w:t>Nos2</w:t>
            </w:r>
          </w:p>
        </w:tc>
        <w:tc>
          <w:tcPr>
            <w:tcW w:w="4117" w:type="dxa"/>
            <w:gridSpan w:val="2"/>
            <w:shd w:val="clear" w:color="auto" w:fill="auto"/>
            <w:vAlign w:val="center"/>
          </w:tcPr>
          <w:p w14:paraId="794C2682" w14:textId="3EC22230" w:rsidR="000423DE" w:rsidRPr="00F2678C" w:rsidRDefault="000423DE" w:rsidP="00025143">
            <w:pPr>
              <w:ind w:left="426"/>
              <w:jc w:val="center"/>
              <w:rPr>
                <w:color w:val="auto"/>
                <w:sz w:val="18"/>
                <w:szCs w:val="18"/>
              </w:rPr>
            </w:pPr>
            <w:r w:rsidRPr="00F2678C">
              <w:rPr>
                <w:rFonts w:eastAsia="맑은 고딕"/>
                <w:color w:val="auto"/>
                <w:sz w:val="18"/>
                <w:szCs w:val="18"/>
                <w:lang w:eastAsia="ko-KR"/>
              </w:rPr>
              <w:t>TGGAGGTTCTGGATGAGAGC</w:t>
            </w:r>
          </w:p>
        </w:tc>
        <w:tc>
          <w:tcPr>
            <w:tcW w:w="4820" w:type="dxa"/>
            <w:shd w:val="clear" w:color="auto" w:fill="auto"/>
            <w:vAlign w:val="center"/>
          </w:tcPr>
          <w:p w14:paraId="796E46E1" w14:textId="64C70C99" w:rsidR="000423DE" w:rsidRPr="00F2678C" w:rsidRDefault="000423DE" w:rsidP="00025143">
            <w:pPr>
              <w:ind w:left="426"/>
              <w:jc w:val="center"/>
              <w:rPr>
                <w:color w:val="auto"/>
                <w:sz w:val="18"/>
                <w:szCs w:val="18"/>
              </w:rPr>
            </w:pPr>
            <w:r w:rsidRPr="00F2678C">
              <w:rPr>
                <w:color w:val="auto"/>
                <w:sz w:val="18"/>
                <w:szCs w:val="18"/>
              </w:rPr>
              <w:t>AATGTCCAGGAAGTAGGTGAGG</w:t>
            </w:r>
          </w:p>
        </w:tc>
      </w:tr>
      <w:tr w:rsidR="000423DE" w:rsidRPr="00F2678C" w14:paraId="097EFC99" w14:textId="77777777" w:rsidTr="007A5251">
        <w:trPr>
          <w:trHeight w:val="326"/>
          <w:jc w:val="center"/>
        </w:trPr>
        <w:tc>
          <w:tcPr>
            <w:tcW w:w="1142" w:type="dxa"/>
            <w:shd w:val="clear" w:color="auto" w:fill="auto"/>
            <w:vAlign w:val="center"/>
          </w:tcPr>
          <w:p w14:paraId="635D39E7" w14:textId="51B0568A" w:rsidR="000423DE" w:rsidRPr="00F2678C" w:rsidRDefault="000423DE" w:rsidP="00025143">
            <w:pPr>
              <w:pStyle w:val="MDPI42tablebody"/>
              <w:autoSpaceDE w:val="0"/>
              <w:autoSpaceDN w:val="0"/>
              <w:spacing w:line="240" w:lineRule="auto"/>
              <w:ind w:left="426"/>
              <w:rPr>
                <w:rFonts w:eastAsiaTheme="minorEastAsia"/>
                <w:i/>
                <w:color w:val="auto"/>
                <w:szCs w:val="18"/>
                <w:lang w:eastAsia="ko-KR"/>
              </w:rPr>
            </w:pPr>
            <w:r w:rsidRPr="00F2678C">
              <w:rPr>
                <w:rFonts w:eastAsiaTheme="minorEastAsia" w:hint="eastAsia"/>
                <w:i/>
                <w:color w:val="auto"/>
                <w:szCs w:val="18"/>
                <w:lang w:eastAsia="ko-KR"/>
              </w:rPr>
              <w:t>Ptgs2</w:t>
            </w:r>
          </w:p>
        </w:tc>
        <w:tc>
          <w:tcPr>
            <w:tcW w:w="4117" w:type="dxa"/>
            <w:gridSpan w:val="2"/>
            <w:shd w:val="clear" w:color="auto" w:fill="auto"/>
            <w:vAlign w:val="center"/>
          </w:tcPr>
          <w:p w14:paraId="0A833D9F" w14:textId="6EEE2105" w:rsidR="000423DE" w:rsidRPr="00F2678C" w:rsidRDefault="000423DE" w:rsidP="00025143">
            <w:pPr>
              <w:ind w:left="426"/>
              <w:jc w:val="center"/>
              <w:rPr>
                <w:sz w:val="18"/>
                <w:szCs w:val="18"/>
              </w:rPr>
            </w:pPr>
            <w:r w:rsidRPr="00F2678C">
              <w:rPr>
                <w:rFonts w:eastAsia="맑은 고딕"/>
                <w:color w:val="auto"/>
                <w:sz w:val="18"/>
                <w:szCs w:val="18"/>
                <w:lang w:eastAsia="ko-KR"/>
              </w:rPr>
              <w:t>TCAAACAGTTTCTCTACAACAACTCC</w:t>
            </w:r>
          </w:p>
        </w:tc>
        <w:tc>
          <w:tcPr>
            <w:tcW w:w="4820" w:type="dxa"/>
            <w:shd w:val="clear" w:color="auto" w:fill="auto"/>
            <w:vAlign w:val="center"/>
          </w:tcPr>
          <w:p w14:paraId="67DFA30C" w14:textId="7F9C3DAA" w:rsidR="000423DE" w:rsidRPr="00F2678C" w:rsidRDefault="000423DE" w:rsidP="00025143">
            <w:pPr>
              <w:ind w:left="426"/>
              <w:jc w:val="center"/>
              <w:rPr>
                <w:sz w:val="18"/>
                <w:szCs w:val="18"/>
              </w:rPr>
            </w:pPr>
            <w:r w:rsidRPr="00F2678C">
              <w:rPr>
                <w:rFonts w:eastAsia="맑은 고딕"/>
                <w:sz w:val="18"/>
                <w:szCs w:val="18"/>
                <w:lang w:eastAsia="ko-KR"/>
              </w:rPr>
              <w:t>ACATTTCTTCCCCCAGCAA</w:t>
            </w:r>
          </w:p>
        </w:tc>
      </w:tr>
      <w:tr w:rsidR="000423DE" w:rsidRPr="00F2678C" w14:paraId="4D06EA05" w14:textId="77777777" w:rsidTr="007A5251">
        <w:trPr>
          <w:trHeight w:val="326"/>
          <w:jc w:val="center"/>
        </w:trPr>
        <w:tc>
          <w:tcPr>
            <w:tcW w:w="1142" w:type="dxa"/>
            <w:shd w:val="clear" w:color="auto" w:fill="auto"/>
            <w:vAlign w:val="center"/>
          </w:tcPr>
          <w:p w14:paraId="67AD2902" w14:textId="3A63B9DF" w:rsidR="000423DE" w:rsidRPr="00F2678C" w:rsidRDefault="000423DE" w:rsidP="00025143">
            <w:pPr>
              <w:pStyle w:val="MDPI42tablebody"/>
              <w:autoSpaceDE w:val="0"/>
              <w:autoSpaceDN w:val="0"/>
              <w:spacing w:line="240" w:lineRule="auto"/>
              <w:ind w:left="426"/>
              <w:rPr>
                <w:rFonts w:eastAsiaTheme="minorEastAsia"/>
                <w:i/>
                <w:color w:val="auto"/>
                <w:szCs w:val="18"/>
                <w:lang w:eastAsia="ko-KR"/>
              </w:rPr>
            </w:pPr>
            <w:r w:rsidRPr="004139EA">
              <w:rPr>
                <w:rFonts w:eastAsia="맑은 고딕" w:hint="eastAsia"/>
                <w:i/>
                <w:color w:val="auto"/>
                <w:szCs w:val="18"/>
                <w:lang w:eastAsia="ko-KR"/>
              </w:rPr>
              <w:t>Stat1</w:t>
            </w:r>
          </w:p>
        </w:tc>
        <w:tc>
          <w:tcPr>
            <w:tcW w:w="4117" w:type="dxa"/>
            <w:gridSpan w:val="2"/>
            <w:shd w:val="clear" w:color="auto" w:fill="auto"/>
            <w:vAlign w:val="center"/>
          </w:tcPr>
          <w:p w14:paraId="790B311A" w14:textId="59290407" w:rsidR="000423DE" w:rsidRPr="00F2678C" w:rsidRDefault="000423DE" w:rsidP="00025143">
            <w:pPr>
              <w:pStyle w:val="MDPI42tablebody"/>
              <w:autoSpaceDE w:val="0"/>
              <w:autoSpaceDN w:val="0"/>
              <w:spacing w:line="240" w:lineRule="auto"/>
              <w:ind w:left="426"/>
              <w:rPr>
                <w:rFonts w:eastAsia="맑은 고딕"/>
                <w:color w:val="auto"/>
                <w:sz w:val="18"/>
                <w:szCs w:val="18"/>
                <w:lang w:eastAsia="ko-KR"/>
              </w:rPr>
            </w:pPr>
            <w:r w:rsidRPr="004139EA">
              <w:rPr>
                <w:color w:val="auto"/>
                <w:sz w:val="18"/>
                <w:szCs w:val="18"/>
              </w:rPr>
              <w:t>TGAGATGTCCCGGATAGTGG</w:t>
            </w:r>
          </w:p>
        </w:tc>
        <w:tc>
          <w:tcPr>
            <w:tcW w:w="4820" w:type="dxa"/>
            <w:shd w:val="clear" w:color="auto" w:fill="auto"/>
            <w:vAlign w:val="center"/>
          </w:tcPr>
          <w:p w14:paraId="3D67AA8E" w14:textId="474B728E" w:rsidR="000423DE" w:rsidRPr="00F2678C" w:rsidRDefault="000423DE" w:rsidP="00025143">
            <w:pPr>
              <w:pStyle w:val="MDPI42tablebody"/>
              <w:autoSpaceDE w:val="0"/>
              <w:autoSpaceDN w:val="0"/>
              <w:spacing w:line="240" w:lineRule="auto"/>
              <w:ind w:left="426"/>
              <w:rPr>
                <w:color w:val="auto"/>
                <w:sz w:val="18"/>
                <w:szCs w:val="18"/>
              </w:rPr>
            </w:pPr>
            <w:r w:rsidRPr="004139EA">
              <w:rPr>
                <w:color w:val="auto"/>
                <w:sz w:val="18"/>
                <w:szCs w:val="18"/>
              </w:rPr>
              <w:t>CGCCAGAGAGAAATTCGTGT</w:t>
            </w:r>
          </w:p>
        </w:tc>
      </w:tr>
      <w:tr w:rsidR="000423DE" w:rsidRPr="004139EA" w14:paraId="6E0995B4" w14:textId="77777777" w:rsidTr="007A5251">
        <w:trPr>
          <w:trHeight w:val="326"/>
          <w:jc w:val="center"/>
        </w:trPr>
        <w:tc>
          <w:tcPr>
            <w:tcW w:w="1142" w:type="dxa"/>
            <w:shd w:val="clear" w:color="auto" w:fill="auto"/>
            <w:vAlign w:val="center"/>
          </w:tcPr>
          <w:p w14:paraId="3446FB2F" w14:textId="41B8D2D0" w:rsidR="000423DE" w:rsidRPr="004139EA" w:rsidRDefault="000423DE" w:rsidP="00B130AD">
            <w:pPr>
              <w:pStyle w:val="MDPI42tablebody"/>
              <w:autoSpaceDE w:val="0"/>
              <w:autoSpaceDN w:val="0"/>
              <w:spacing w:line="240" w:lineRule="auto"/>
              <w:ind w:left="426"/>
              <w:rPr>
                <w:rFonts w:eastAsia="맑은 고딕"/>
                <w:i/>
                <w:color w:val="auto"/>
                <w:szCs w:val="18"/>
                <w:lang w:eastAsia="ko-KR"/>
              </w:rPr>
            </w:pPr>
            <w:r w:rsidRPr="00F2678C">
              <w:rPr>
                <w:rFonts w:eastAsia="맑은 고딕" w:hint="eastAsia"/>
                <w:i/>
                <w:color w:val="auto"/>
                <w:szCs w:val="18"/>
                <w:lang w:eastAsia="ko-KR"/>
              </w:rPr>
              <w:t>Stat</w:t>
            </w:r>
            <w:r w:rsidRPr="00F2678C">
              <w:rPr>
                <w:rFonts w:eastAsia="맑은 고딕"/>
                <w:i/>
                <w:color w:val="auto"/>
                <w:szCs w:val="18"/>
                <w:lang w:eastAsia="ko-KR"/>
              </w:rPr>
              <w:t>3</w:t>
            </w:r>
          </w:p>
        </w:tc>
        <w:tc>
          <w:tcPr>
            <w:tcW w:w="4117" w:type="dxa"/>
            <w:gridSpan w:val="2"/>
            <w:shd w:val="clear" w:color="auto" w:fill="auto"/>
            <w:vAlign w:val="center"/>
          </w:tcPr>
          <w:p w14:paraId="221F0A40" w14:textId="4057B910" w:rsidR="000423DE" w:rsidRPr="004139EA" w:rsidRDefault="000423DE" w:rsidP="00B130AD">
            <w:pPr>
              <w:ind w:left="426"/>
              <w:jc w:val="center"/>
              <w:rPr>
                <w:color w:val="auto"/>
                <w:sz w:val="18"/>
                <w:szCs w:val="18"/>
              </w:rPr>
            </w:pPr>
            <w:r w:rsidRPr="00F2678C">
              <w:rPr>
                <w:rFonts w:eastAsia="맑은 고딕"/>
                <w:color w:val="auto"/>
                <w:sz w:val="18"/>
                <w:szCs w:val="18"/>
                <w:lang w:eastAsia="ko-KR"/>
              </w:rPr>
              <w:t>GTCTGCAGAGT TCAAGCACCT</w:t>
            </w:r>
          </w:p>
        </w:tc>
        <w:tc>
          <w:tcPr>
            <w:tcW w:w="4820" w:type="dxa"/>
            <w:shd w:val="clear" w:color="auto" w:fill="auto"/>
            <w:vAlign w:val="center"/>
          </w:tcPr>
          <w:p w14:paraId="1BD8FA5D" w14:textId="7FD5BAFD" w:rsidR="000423DE" w:rsidRPr="004139EA" w:rsidRDefault="000423DE" w:rsidP="00B130AD">
            <w:pPr>
              <w:ind w:left="426"/>
              <w:jc w:val="center"/>
              <w:rPr>
                <w:color w:val="auto"/>
                <w:sz w:val="18"/>
                <w:szCs w:val="18"/>
              </w:rPr>
            </w:pPr>
            <w:r w:rsidRPr="00F2678C">
              <w:rPr>
                <w:color w:val="auto"/>
                <w:sz w:val="18"/>
                <w:szCs w:val="18"/>
              </w:rPr>
              <w:t>TCCTCAGTCACGATCAAGGAG</w:t>
            </w:r>
          </w:p>
        </w:tc>
      </w:tr>
      <w:tr w:rsidR="000423DE" w:rsidRPr="00F2678C" w14:paraId="6BDEDE28" w14:textId="77777777" w:rsidTr="007A5251">
        <w:trPr>
          <w:trHeight w:val="326"/>
          <w:jc w:val="center"/>
        </w:trPr>
        <w:tc>
          <w:tcPr>
            <w:tcW w:w="1142" w:type="dxa"/>
            <w:shd w:val="clear" w:color="auto" w:fill="auto"/>
            <w:vAlign w:val="center"/>
          </w:tcPr>
          <w:p w14:paraId="1D4C92E4" w14:textId="773FC930" w:rsidR="000423DE" w:rsidRPr="00F2678C" w:rsidRDefault="000423DE" w:rsidP="00025143">
            <w:pPr>
              <w:pStyle w:val="MDPI42tablebody"/>
              <w:autoSpaceDE w:val="0"/>
              <w:autoSpaceDN w:val="0"/>
              <w:spacing w:line="240" w:lineRule="auto"/>
              <w:ind w:left="426"/>
              <w:rPr>
                <w:rFonts w:eastAsiaTheme="minorEastAsia"/>
                <w:i/>
                <w:color w:val="auto"/>
                <w:szCs w:val="18"/>
                <w:lang w:eastAsia="ko-KR"/>
              </w:rPr>
            </w:pPr>
            <w:r w:rsidRPr="00F2678C">
              <w:rPr>
                <w:rFonts w:eastAsiaTheme="minorEastAsia"/>
                <w:i/>
                <w:color w:val="auto"/>
                <w:szCs w:val="18"/>
                <w:lang w:eastAsia="ko-KR"/>
              </w:rPr>
              <w:t>c-Jun</w:t>
            </w:r>
          </w:p>
        </w:tc>
        <w:tc>
          <w:tcPr>
            <w:tcW w:w="4117" w:type="dxa"/>
            <w:gridSpan w:val="2"/>
            <w:shd w:val="clear" w:color="auto" w:fill="auto"/>
            <w:vAlign w:val="center"/>
          </w:tcPr>
          <w:p w14:paraId="1DABFCD6" w14:textId="21BF11F1" w:rsidR="000423DE" w:rsidRPr="00F2678C" w:rsidRDefault="000423DE" w:rsidP="00025143">
            <w:pPr>
              <w:pStyle w:val="MDPI42tablebody"/>
              <w:autoSpaceDE w:val="0"/>
              <w:autoSpaceDN w:val="0"/>
              <w:spacing w:line="240" w:lineRule="auto"/>
              <w:ind w:left="426"/>
              <w:rPr>
                <w:rFonts w:eastAsia="맑은 고딕"/>
                <w:color w:val="auto"/>
                <w:sz w:val="18"/>
                <w:szCs w:val="18"/>
                <w:lang w:eastAsia="ko-KR"/>
              </w:rPr>
            </w:pPr>
            <w:r w:rsidRPr="00F2678C">
              <w:rPr>
                <w:rFonts w:eastAsia="맑은 고딕"/>
                <w:color w:val="auto"/>
                <w:sz w:val="18"/>
                <w:szCs w:val="18"/>
                <w:lang w:eastAsia="ko-KR"/>
              </w:rPr>
              <w:t>ACTGGGTTGCGACCTGAC</w:t>
            </w:r>
          </w:p>
        </w:tc>
        <w:tc>
          <w:tcPr>
            <w:tcW w:w="4820" w:type="dxa"/>
            <w:shd w:val="clear" w:color="auto" w:fill="auto"/>
            <w:vAlign w:val="center"/>
          </w:tcPr>
          <w:p w14:paraId="6A0F6692" w14:textId="7D438BF4" w:rsidR="000423DE" w:rsidRPr="00F2678C" w:rsidRDefault="000423DE" w:rsidP="00025143">
            <w:pPr>
              <w:pStyle w:val="MDPI42tablebody"/>
              <w:autoSpaceDE w:val="0"/>
              <w:autoSpaceDN w:val="0"/>
              <w:spacing w:line="240" w:lineRule="auto"/>
              <w:ind w:left="426"/>
              <w:rPr>
                <w:color w:val="auto"/>
                <w:sz w:val="18"/>
                <w:szCs w:val="18"/>
              </w:rPr>
            </w:pPr>
            <w:r w:rsidRPr="00F2678C">
              <w:rPr>
                <w:color w:val="auto"/>
                <w:sz w:val="18"/>
                <w:szCs w:val="18"/>
              </w:rPr>
              <w:t>CAATAGGCCGCTGCTCTC</w:t>
            </w:r>
          </w:p>
        </w:tc>
      </w:tr>
      <w:tr w:rsidR="000423DE" w:rsidRPr="00F2678C" w14:paraId="2FA495F7" w14:textId="77777777" w:rsidTr="007A5251">
        <w:trPr>
          <w:trHeight w:val="326"/>
          <w:jc w:val="center"/>
        </w:trPr>
        <w:tc>
          <w:tcPr>
            <w:tcW w:w="1142" w:type="dxa"/>
            <w:shd w:val="clear" w:color="auto" w:fill="auto"/>
            <w:vAlign w:val="center"/>
          </w:tcPr>
          <w:p w14:paraId="5FFD8CAE" w14:textId="45B3F1F1" w:rsidR="000423DE" w:rsidRPr="00F2678C" w:rsidRDefault="000423DE" w:rsidP="00025143">
            <w:pPr>
              <w:pStyle w:val="MDPI42tablebody"/>
              <w:autoSpaceDE w:val="0"/>
              <w:autoSpaceDN w:val="0"/>
              <w:spacing w:line="240" w:lineRule="auto"/>
              <w:ind w:left="426"/>
              <w:rPr>
                <w:rFonts w:eastAsiaTheme="minorEastAsia"/>
                <w:i/>
                <w:color w:val="auto"/>
                <w:szCs w:val="18"/>
                <w:lang w:eastAsia="ko-KR"/>
              </w:rPr>
            </w:pPr>
            <w:r w:rsidRPr="00F2678C">
              <w:rPr>
                <w:rFonts w:eastAsiaTheme="minorEastAsia"/>
                <w:i/>
                <w:color w:val="auto"/>
                <w:szCs w:val="18"/>
                <w:lang w:eastAsia="ko-KR"/>
              </w:rPr>
              <w:t>c-Fos</w:t>
            </w:r>
          </w:p>
        </w:tc>
        <w:tc>
          <w:tcPr>
            <w:tcW w:w="4117" w:type="dxa"/>
            <w:gridSpan w:val="2"/>
            <w:shd w:val="clear" w:color="auto" w:fill="auto"/>
            <w:vAlign w:val="center"/>
          </w:tcPr>
          <w:p w14:paraId="1D0ADBA2" w14:textId="210CF5CA" w:rsidR="000423DE" w:rsidRPr="00F2678C" w:rsidRDefault="000423DE" w:rsidP="00025143">
            <w:pPr>
              <w:pStyle w:val="MDPI42tablebody"/>
              <w:autoSpaceDE w:val="0"/>
              <w:autoSpaceDN w:val="0"/>
              <w:spacing w:line="240" w:lineRule="auto"/>
              <w:ind w:left="426"/>
              <w:rPr>
                <w:rFonts w:eastAsia="맑은 고딕"/>
                <w:color w:val="auto"/>
                <w:sz w:val="18"/>
                <w:szCs w:val="18"/>
                <w:lang w:eastAsia="ko-KR"/>
              </w:rPr>
            </w:pPr>
            <w:r w:rsidRPr="00F2678C">
              <w:rPr>
                <w:color w:val="auto"/>
                <w:sz w:val="18"/>
                <w:szCs w:val="18"/>
              </w:rPr>
              <w:t>AGAGCGGGAATGGTGAAGA</w:t>
            </w:r>
          </w:p>
        </w:tc>
        <w:tc>
          <w:tcPr>
            <w:tcW w:w="4820" w:type="dxa"/>
            <w:shd w:val="clear" w:color="auto" w:fill="auto"/>
            <w:vAlign w:val="center"/>
          </w:tcPr>
          <w:p w14:paraId="4498A952" w14:textId="2C170288" w:rsidR="000423DE" w:rsidRPr="00F2678C" w:rsidRDefault="000423DE" w:rsidP="00025143">
            <w:pPr>
              <w:pStyle w:val="MDPI42tablebody"/>
              <w:autoSpaceDE w:val="0"/>
              <w:autoSpaceDN w:val="0"/>
              <w:spacing w:line="240" w:lineRule="auto"/>
              <w:ind w:left="426"/>
              <w:rPr>
                <w:color w:val="auto"/>
                <w:sz w:val="18"/>
                <w:szCs w:val="18"/>
              </w:rPr>
            </w:pPr>
            <w:r w:rsidRPr="00F2678C">
              <w:rPr>
                <w:color w:val="auto"/>
                <w:sz w:val="18"/>
                <w:szCs w:val="18"/>
              </w:rPr>
              <w:t>TCTTCCTCTTCAGGAGATAGCTG</w:t>
            </w:r>
          </w:p>
        </w:tc>
      </w:tr>
      <w:tr w:rsidR="000423DE" w:rsidRPr="00F2678C" w14:paraId="511660F8" w14:textId="77777777" w:rsidTr="007A5251">
        <w:trPr>
          <w:trHeight w:val="326"/>
          <w:jc w:val="center"/>
        </w:trPr>
        <w:tc>
          <w:tcPr>
            <w:tcW w:w="1142" w:type="dxa"/>
            <w:shd w:val="clear" w:color="auto" w:fill="auto"/>
            <w:vAlign w:val="center"/>
          </w:tcPr>
          <w:p w14:paraId="581A0324" w14:textId="7B9AF8E5" w:rsidR="000423DE" w:rsidRPr="00F2678C" w:rsidRDefault="000423DE" w:rsidP="00025143">
            <w:pPr>
              <w:pStyle w:val="MDPI42tablebody"/>
              <w:autoSpaceDE w:val="0"/>
              <w:autoSpaceDN w:val="0"/>
              <w:spacing w:line="240" w:lineRule="auto"/>
              <w:ind w:left="426"/>
              <w:rPr>
                <w:rFonts w:eastAsiaTheme="minorEastAsia"/>
                <w:i/>
                <w:color w:val="auto"/>
                <w:szCs w:val="18"/>
                <w:lang w:eastAsia="ko-KR"/>
              </w:rPr>
            </w:pPr>
            <w:r w:rsidRPr="00F2678C">
              <w:rPr>
                <w:rFonts w:eastAsiaTheme="minorEastAsia"/>
                <w:i/>
                <w:color w:val="auto"/>
                <w:szCs w:val="18"/>
                <w:lang w:eastAsia="ko-KR"/>
              </w:rPr>
              <w:t>Nlrp3</w:t>
            </w:r>
          </w:p>
        </w:tc>
        <w:tc>
          <w:tcPr>
            <w:tcW w:w="4117" w:type="dxa"/>
            <w:gridSpan w:val="2"/>
            <w:shd w:val="clear" w:color="auto" w:fill="auto"/>
            <w:vAlign w:val="center"/>
          </w:tcPr>
          <w:p w14:paraId="78F750D2" w14:textId="7D708C5F" w:rsidR="000423DE" w:rsidRPr="00F2678C" w:rsidRDefault="000423DE" w:rsidP="00025143">
            <w:pPr>
              <w:pStyle w:val="MDPI42tablebody"/>
              <w:autoSpaceDE w:val="0"/>
              <w:autoSpaceDN w:val="0"/>
              <w:spacing w:line="240" w:lineRule="auto"/>
              <w:ind w:left="426"/>
              <w:rPr>
                <w:rFonts w:eastAsia="맑은 고딕"/>
                <w:color w:val="auto"/>
                <w:sz w:val="18"/>
                <w:szCs w:val="18"/>
                <w:lang w:eastAsia="ko-KR"/>
              </w:rPr>
            </w:pPr>
            <w:r w:rsidRPr="00F2678C">
              <w:rPr>
                <w:color w:val="auto"/>
                <w:sz w:val="18"/>
                <w:szCs w:val="18"/>
              </w:rPr>
              <w:t>GGGAGACCGTGAGGAAAGGA</w:t>
            </w:r>
          </w:p>
        </w:tc>
        <w:tc>
          <w:tcPr>
            <w:tcW w:w="4820" w:type="dxa"/>
            <w:shd w:val="clear" w:color="auto" w:fill="auto"/>
            <w:vAlign w:val="center"/>
          </w:tcPr>
          <w:p w14:paraId="42E472D6" w14:textId="066A3BD9" w:rsidR="000423DE" w:rsidRPr="00F2678C" w:rsidRDefault="000423DE" w:rsidP="00025143">
            <w:pPr>
              <w:pStyle w:val="MDPI42tablebody"/>
              <w:autoSpaceDE w:val="0"/>
              <w:autoSpaceDN w:val="0"/>
              <w:spacing w:line="240" w:lineRule="auto"/>
              <w:ind w:left="426"/>
              <w:rPr>
                <w:color w:val="auto"/>
                <w:sz w:val="18"/>
                <w:szCs w:val="18"/>
              </w:rPr>
            </w:pPr>
            <w:r w:rsidRPr="00F2678C">
              <w:rPr>
                <w:color w:val="auto"/>
                <w:sz w:val="18"/>
                <w:szCs w:val="18"/>
              </w:rPr>
              <w:t>CCAAAGAGGAATCGGACAACAAA</w:t>
            </w:r>
          </w:p>
        </w:tc>
      </w:tr>
      <w:tr w:rsidR="000423DE" w:rsidRPr="00F2678C" w14:paraId="349F006E" w14:textId="77777777" w:rsidTr="007A5251">
        <w:trPr>
          <w:trHeight w:val="326"/>
          <w:jc w:val="center"/>
        </w:trPr>
        <w:tc>
          <w:tcPr>
            <w:tcW w:w="1142" w:type="dxa"/>
            <w:shd w:val="clear" w:color="auto" w:fill="auto"/>
            <w:vAlign w:val="center"/>
          </w:tcPr>
          <w:p w14:paraId="6292F324" w14:textId="2D37AE96" w:rsidR="000423DE" w:rsidRPr="00F2678C" w:rsidRDefault="000423DE" w:rsidP="00C43F9C">
            <w:pPr>
              <w:pStyle w:val="MDPI42tablebody"/>
              <w:autoSpaceDE w:val="0"/>
              <w:autoSpaceDN w:val="0"/>
              <w:spacing w:line="240" w:lineRule="auto"/>
              <w:ind w:left="426"/>
              <w:rPr>
                <w:rFonts w:eastAsia="맑은 고딕"/>
                <w:i/>
                <w:color w:val="auto"/>
                <w:szCs w:val="18"/>
                <w:lang w:eastAsia="ko-KR"/>
              </w:rPr>
            </w:pPr>
            <w:r w:rsidRPr="00F2678C">
              <w:rPr>
                <w:rFonts w:eastAsiaTheme="minorEastAsia"/>
                <w:i/>
                <w:color w:val="auto"/>
                <w:szCs w:val="18"/>
                <w:lang w:eastAsia="ko-KR"/>
              </w:rPr>
              <w:t>Xbp1</w:t>
            </w:r>
          </w:p>
        </w:tc>
        <w:tc>
          <w:tcPr>
            <w:tcW w:w="4117" w:type="dxa"/>
            <w:gridSpan w:val="2"/>
            <w:shd w:val="clear" w:color="auto" w:fill="auto"/>
            <w:vAlign w:val="center"/>
          </w:tcPr>
          <w:p w14:paraId="3A869F3E" w14:textId="23A8CFA6" w:rsidR="000423DE" w:rsidRPr="00F2678C" w:rsidRDefault="000423DE" w:rsidP="00025143">
            <w:pPr>
              <w:pStyle w:val="MDPI42tablebody"/>
              <w:autoSpaceDE w:val="0"/>
              <w:autoSpaceDN w:val="0"/>
              <w:spacing w:line="240" w:lineRule="auto"/>
              <w:ind w:left="426"/>
              <w:rPr>
                <w:color w:val="auto"/>
                <w:sz w:val="18"/>
                <w:szCs w:val="18"/>
              </w:rPr>
            </w:pPr>
            <w:r w:rsidRPr="00F2678C">
              <w:rPr>
                <w:color w:val="auto"/>
                <w:sz w:val="18"/>
                <w:szCs w:val="18"/>
              </w:rPr>
              <w:t>GAGTCCGCAGCAGGTG</w:t>
            </w:r>
          </w:p>
        </w:tc>
        <w:tc>
          <w:tcPr>
            <w:tcW w:w="4820" w:type="dxa"/>
            <w:shd w:val="clear" w:color="auto" w:fill="auto"/>
            <w:vAlign w:val="center"/>
          </w:tcPr>
          <w:p w14:paraId="5997EE54" w14:textId="1E5C88AF" w:rsidR="000423DE" w:rsidRPr="00F2678C" w:rsidRDefault="000423DE" w:rsidP="00025143">
            <w:pPr>
              <w:pStyle w:val="MDPI42tablebody"/>
              <w:autoSpaceDE w:val="0"/>
              <w:autoSpaceDN w:val="0"/>
              <w:spacing w:line="240" w:lineRule="auto"/>
              <w:ind w:left="426"/>
              <w:rPr>
                <w:color w:val="auto"/>
                <w:sz w:val="18"/>
                <w:szCs w:val="18"/>
              </w:rPr>
            </w:pPr>
            <w:r w:rsidRPr="00F2678C">
              <w:rPr>
                <w:color w:val="auto"/>
                <w:sz w:val="18"/>
                <w:szCs w:val="18"/>
              </w:rPr>
              <w:t>GTGTCAGAGTCCATGGGA</w:t>
            </w:r>
          </w:p>
        </w:tc>
      </w:tr>
      <w:tr w:rsidR="000423DE" w:rsidRPr="00F2678C" w14:paraId="0841C068" w14:textId="77777777" w:rsidTr="007A5251">
        <w:trPr>
          <w:trHeight w:val="326"/>
          <w:jc w:val="center"/>
        </w:trPr>
        <w:tc>
          <w:tcPr>
            <w:tcW w:w="1142" w:type="dxa"/>
            <w:shd w:val="clear" w:color="auto" w:fill="auto"/>
            <w:vAlign w:val="center"/>
          </w:tcPr>
          <w:p w14:paraId="52E055B9" w14:textId="453B825D" w:rsidR="000423DE" w:rsidRPr="00F2678C" w:rsidRDefault="007A5251" w:rsidP="007A5251">
            <w:pPr>
              <w:pStyle w:val="MDPI42tablebody"/>
              <w:autoSpaceDE w:val="0"/>
              <w:autoSpaceDN w:val="0"/>
              <w:spacing w:line="240" w:lineRule="auto"/>
              <w:ind w:left="426"/>
              <w:rPr>
                <w:rFonts w:eastAsiaTheme="minorEastAsia"/>
                <w:i/>
                <w:color w:val="auto"/>
                <w:szCs w:val="18"/>
                <w:lang w:eastAsia="ko-KR"/>
              </w:rPr>
            </w:pPr>
            <w:r>
              <w:rPr>
                <w:i/>
              </w:rPr>
              <w:t>Gadd34</w:t>
            </w:r>
          </w:p>
        </w:tc>
        <w:tc>
          <w:tcPr>
            <w:tcW w:w="4117" w:type="dxa"/>
            <w:gridSpan w:val="2"/>
            <w:shd w:val="clear" w:color="auto" w:fill="auto"/>
            <w:vAlign w:val="center"/>
          </w:tcPr>
          <w:p w14:paraId="03458B47" w14:textId="7A416304" w:rsidR="000423DE" w:rsidRPr="00F2678C" w:rsidRDefault="007A5251" w:rsidP="00C43F9C">
            <w:pPr>
              <w:pStyle w:val="MDPI42tablebody"/>
              <w:autoSpaceDE w:val="0"/>
              <w:autoSpaceDN w:val="0"/>
              <w:spacing w:line="240" w:lineRule="auto"/>
              <w:ind w:left="426"/>
              <w:rPr>
                <w:rFonts w:eastAsia="맑은 고딕"/>
                <w:color w:val="auto"/>
                <w:sz w:val="18"/>
                <w:szCs w:val="18"/>
                <w:lang w:eastAsia="ko-KR"/>
              </w:rPr>
            </w:pPr>
            <w:r w:rsidRPr="00A6514C">
              <w:rPr>
                <w:color w:val="auto"/>
                <w:sz w:val="18"/>
                <w:szCs w:val="18"/>
              </w:rPr>
              <w:t>CGCCGCGTCAGGGTATAA</w:t>
            </w:r>
          </w:p>
        </w:tc>
        <w:tc>
          <w:tcPr>
            <w:tcW w:w="4820" w:type="dxa"/>
            <w:shd w:val="clear" w:color="auto" w:fill="auto"/>
            <w:vAlign w:val="center"/>
          </w:tcPr>
          <w:p w14:paraId="1DFCD9F1" w14:textId="6AA73B03" w:rsidR="000423DE" w:rsidRPr="00F2678C" w:rsidRDefault="007A5251" w:rsidP="00C43F9C">
            <w:pPr>
              <w:pStyle w:val="MDPI42tablebody"/>
              <w:autoSpaceDE w:val="0"/>
              <w:autoSpaceDN w:val="0"/>
              <w:spacing w:line="240" w:lineRule="auto"/>
              <w:ind w:left="426"/>
              <w:rPr>
                <w:color w:val="auto"/>
                <w:sz w:val="18"/>
                <w:szCs w:val="18"/>
              </w:rPr>
            </w:pPr>
            <w:r w:rsidRPr="00A6514C">
              <w:rPr>
                <w:color w:val="auto"/>
                <w:sz w:val="18"/>
                <w:szCs w:val="18"/>
              </w:rPr>
              <w:t>TGACTCAATCTGCGCCAACA</w:t>
            </w:r>
          </w:p>
        </w:tc>
      </w:tr>
      <w:tr w:rsidR="007A5251" w:rsidRPr="00F2678C" w14:paraId="5A67D938" w14:textId="77777777" w:rsidTr="00B130AD">
        <w:trPr>
          <w:trHeight w:val="326"/>
          <w:jc w:val="center"/>
        </w:trPr>
        <w:tc>
          <w:tcPr>
            <w:tcW w:w="1142" w:type="dxa"/>
            <w:shd w:val="clear" w:color="auto" w:fill="auto"/>
            <w:vAlign w:val="center"/>
          </w:tcPr>
          <w:p w14:paraId="0565B871" w14:textId="5C2DE448" w:rsidR="007A5251" w:rsidRPr="00F2678C" w:rsidRDefault="002C017B" w:rsidP="002C017B">
            <w:pPr>
              <w:pStyle w:val="MDPI42tablebody"/>
              <w:autoSpaceDE w:val="0"/>
              <w:autoSpaceDN w:val="0"/>
              <w:spacing w:line="240" w:lineRule="auto"/>
              <w:ind w:left="426"/>
              <w:rPr>
                <w:rFonts w:eastAsiaTheme="minorEastAsia"/>
                <w:i/>
                <w:color w:val="auto"/>
                <w:szCs w:val="18"/>
                <w:lang w:eastAsia="ko-KR"/>
              </w:rPr>
            </w:pPr>
            <w:r>
              <w:rPr>
                <w:i/>
              </w:rPr>
              <w:t>Asc</w:t>
            </w:r>
          </w:p>
        </w:tc>
        <w:tc>
          <w:tcPr>
            <w:tcW w:w="4117" w:type="dxa"/>
            <w:gridSpan w:val="2"/>
            <w:shd w:val="clear" w:color="auto" w:fill="auto"/>
            <w:vAlign w:val="center"/>
          </w:tcPr>
          <w:p w14:paraId="2A618492" w14:textId="429A9084" w:rsidR="007A5251" w:rsidRPr="00F2678C" w:rsidRDefault="002C017B" w:rsidP="00B130AD">
            <w:pPr>
              <w:pStyle w:val="MDPI42tablebody"/>
              <w:autoSpaceDE w:val="0"/>
              <w:autoSpaceDN w:val="0"/>
              <w:spacing w:line="240" w:lineRule="auto"/>
              <w:ind w:left="426"/>
              <w:rPr>
                <w:rFonts w:eastAsia="맑은 고딕"/>
                <w:color w:val="auto"/>
                <w:sz w:val="18"/>
                <w:szCs w:val="18"/>
                <w:lang w:eastAsia="ko-KR"/>
              </w:rPr>
            </w:pPr>
            <w:r w:rsidRPr="00A6514C">
              <w:rPr>
                <w:color w:val="auto"/>
                <w:sz w:val="18"/>
                <w:szCs w:val="18"/>
              </w:rPr>
              <w:t>GTGTTTACTCTCTGGGATGTTTTTG</w:t>
            </w:r>
          </w:p>
        </w:tc>
        <w:tc>
          <w:tcPr>
            <w:tcW w:w="4820" w:type="dxa"/>
            <w:shd w:val="clear" w:color="auto" w:fill="auto"/>
            <w:vAlign w:val="center"/>
          </w:tcPr>
          <w:p w14:paraId="7A278D62" w14:textId="19902223" w:rsidR="007A5251" w:rsidRPr="00F2678C" w:rsidRDefault="002C017B" w:rsidP="00B130AD">
            <w:pPr>
              <w:pStyle w:val="MDPI42tablebody"/>
              <w:autoSpaceDE w:val="0"/>
              <w:autoSpaceDN w:val="0"/>
              <w:spacing w:line="240" w:lineRule="auto"/>
              <w:ind w:left="426"/>
              <w:rPr>
                <w:color w:val="auto"/>
                <w:sz w:val="18"/>
                <w:szCs w:val="18"/>
              </w:rPr>
            </w:pPr>
            <w:r w:rsidRPr="00A6514C">
              <w:rPr>
                <w:color w:val="auto"/>
                <w:sz w:val="18"/>
                <w:szCs w:val="18"/>
              </w:rPr>
              <w:t>GTCTGTGGAATTTAGGTGTTGGA</w:t>
            </w:r>
          </w:p>
        </w:tc>
      </w:tr>
      <w:tr w:rsidR="007A5251" w:rsidRPr="00F2678C" w14:paraId="5E45831E" w14:textId="77777777" w:rsidTr="00B130AD">
        <w:trPr>
          <w:trHeight w:val="326"/>
          <w:jc w:val="center"/>
        </w:trPr>
        <w:tc>
          <w:tcPr>
            <w:tcW w:w="1142" w:type="dxa"/>
            <w:shd w:val="clear" w:color="auto" w:fill="auto"/>
            <w:vAlign w:val="center"/>
          </w:tcPr>
          <w:p w14:paraId="76555881" w14:textId="1A724B67" w:rsidR="007A5251" w:rsidRPr="00F2678C" w:rsidRDefault="008D1A34" w:rsidP="008D1A34">
            <w:pPr>
              <w:pStyle w:val="MDPI42tablebody"/>
              <w:autoSpaceDE w:val="0"/>
              <w:autoSpaceDN w:val="0"/>
              <w:spacing w:line="240" w:lineRule="auto"/>
              <w:ind w:left="426"/>
              <w:rPr>
                <w:rFonts w:eastAsiaTheme="minorEastAsia"/>
                <w:i/>
                <w:color w:val="auto"/>
                <w:szCs w:val="18"/>
                <w:lang w:eastAsia="ko-KR"/>
              </w:rPr>
            </w:pPr>
            <w:r>
              <w:rPr>
                <w:i/>
              </w:rPr>
              <w:t>Par-2</w:t>
            </w:r>
          </w:p>
        </w:tc>
        <w:tc>
          <w:tcPr>
            <w:tcW w:w="4117" w:type="dxa"/>
            <w:gridSpan w:val="2"/>
            <w:shd w:val="clear" w:color="auto" w:fill="auto"/>
            <w:vAlign w:val="center"/>
          </w:tcPr>
          <w:p w14:paraId="43314007" w14:textId="25DD7E7A" w:rsidR="007A5251" w:rsidRPr="00F2678C" w:rsidRDefault="008D1A34" w:rsidP="00B130AD">
            <w:pPr>
              <w:pStyle w:val="MDPI42tablebody"/>
              <w:autoSpaceDE w:val="0"/>
              <w:autoSpaceDN w:val="0"/>
              <w:spacing w:line="240" w:lineRule="auto"/>
              <w:ind w:left="426"/>
              <w:rPr>
                <w:rFonts w:eastAsia="맑은 고딕"/>
                <w:color w:val="auto"/>
                <w:sz w:val="18"/>
                <w:szCs w:val="18"/>
                <w:lang w:eastAsia="ko-KR"/>
              </w:rPr>
            </w:pPr>
            <w:r w:rsidRPr="00A6514C">
              <w:rPr>
                <w:color w:val="auto"/>
                <w:sz w:val="18"/>
                <w:szCs w:val="18"/>
              </w:rPr>
              <w:t>CACCGGGACGCAACAACAG</w:t>
            </w:r>
          </w:p>
        </w:tc>
        <w:tc>
          <w:tcPr>
            <w:tcW w:w="4820" w:type="dxa"/>
            <w:shd w:val="clear" w:color="auto" w:fill="auto"/>
            <w:vAlign w:val="center"/>
          </w:tcPr>
          <w:p w14:paraId="53722D6D" w14:textId="6F63CBC7" w:rsidR="007A5251" w:rsidRPr="00F2678C" w:rsidRDefault="008D1A34" w:rsidP="00B130AD">
            <w:pPr>
              <w:pStyle w:val="MDPI42tablebody"/>
              <w:autoSpaceDE w:val="0"/>
              <w:autoSpaceDN w:val="0"/>
              <w:spacing w:line="240" w:lineRule="auto"/>
              <w:ind w:left="426"/>
              <w:rPr>
                <w:color w:val="auto"/>
                <w:sz w:val="18"/>
                <w:szCs w:val="18"/>
              </w:rPr>
            </w:pPr>
            <w:r w:rsidRPr="00A6514C">
              <w:rPr>
                <w:color w:val="auto"/>
                <w:sz w:val="18"/>
                <w:szCs w:val="18"/>
              </w:rPr>
              <w:t>GTAGACGACCGGAAGAAAGAC</w:t>
            </w:r>
          </w:p>
        </w:tc>
      </w:tr>
      <w:tr w:rsidR="007A5251" w:rsidRPr="00F2678C" w14:paraId="45C5FBA0" w14:textId="77777777" w:rsidTr="007A5251">
        <w:trPr>
          <w:trHeight w:val="326"/>
          <w:jc w:val="center"/>
        </w:trPr>
        <w:tc>
          <w:tcPr>
            <w:tcW w:w="1142" w:type="dxa"/>
            <w:shd w:val="clear" w:color="auto" w:fill="auto"/>
            <w:vAlign w:val="center"/>
          </w:tcPr>
          <w:p w14:paraId="5D7F15B2" w14:textId="072A6737" w:rsidR="007A5251" w:rsidRPr="00F2678C" w:rsidRDefault="007A5251" w:rsidP="007A5251">
            <w:pPr>
              <w:pStyle w:val="MDPI42tablebody"/>
              <w:autoSpaceDE w:val="0"/>
              <w:autoSpaceDN w:val="0"/>
              <w:spacing w:line="240" w:lineRule="auto"/>
              <w:ind w:left="426"/>
              <w:rPr>
                <w:rFonts w:eastAsiaTheme="minorEastAsia"/>
                <w:i/>
                <w:color w:val="auto"/>
                <w:szCs w:val="18"/>
                <w:lang w:eastAsia="ko-KR"/>
              </w:rPr>
            </w:pPr>
            <w:r w:rsidRPr="00F2678C">
              <w:rPr>
                <w:i/>
              </w:rPr>
              <w:t>β-Actin</w:t>
            </w:r>
          </w:p>
        </w:tc>
        <w:tc>
          <w:tcPr>
            <w:tcW w:w="4117" w:type="dxa"/>
            <w:gridSpan w:val="2"/>
            <w:shd w:val="clear" w:color="auto" w:fill="auto"/>
            <w:vAlign w:val="center"/>
          </w:tcPr>
          <w:p w14:paraId="6F70252E" w14:textId="00C66035" w:rsidR="007A5251" w:rsidRPr="00F2678C" w:rsidRDefault="007A5251" w:rsidP="007A5251">
            <w:pPr>
              <w:pStyle w:val="MDPI42tablebody"/>
              <w:autoSpaceDE w:val="0"/>
              <w:autoSpaceDN w:val="0"/>
              <w:spacing w:line="240" w:lineRule="auto"/>
              <w:ind w:left="426"/>
              <w:rPr>
                <w:color w:val="auto"/>
                <w:sz w:val="18"/>
                <w:szCs w:val="18"/>
              </w:rPr>
            </w:pPr>
            <w:r w:rsidRPr="00F2678C">
              <w:rPr>
                <w:color w:val="auto"/>
                <w:sz w:val="18"/>
                <w:szCs w:val="18"/>
              </w:rPr>
              <w:t>CTAAGGCCAACCGTGAAAAG</w:t>
            </w:r>
          </w:p>
        </w:tc>
        <w:tc>
          <w:tcPr>
            <w:tcW w:w="4820" w:type="dxa"/>
            <w:shd w:val="clear" w:color="auto" w:fill="auto"/>
            <w:vAlign w:val="center"/>
          </w:tcPr>
          <w:p w14:paraId="3C4F358B" w14:textId="55657FB5" w:rsidR="007A5251" w:rsidRPr="00F2678C" w:rsidRDefault="007A5251" w:rsidP="007A5251">
            <w:pPr>
              <w:pStyle w:val="MDPI42tablebody"/>
              <w:autoSpaceDE w:val="0"/>
              <w:autoSpaceDN w:val="0"/>
              <w:spacing w:line="240" w:lineRule="auto"/>
              <w:ind w:left="426"/>
              <w:rPr>
                <w:color w:val="auto"/>
                <w:sz w:val="18"/>
                <w:szCs w:val="18"/>
              </w:rPr>
            </w:pPr>
            <w:r w:rsidRPr="00F2678C">
              <w:rPr>
                <w:color w:val="auto"/>
                <w:sz w:val="18"/>
                <w:szCs w:val="18"/>
              </w:rPr>
              <w:t>ACCAGAGGCATACAGGGACA</w:t>
            </w:r>
          </w:p>
        </w:tc>
      </w:tr>
    </w:tbl>
    <w:p w14:paraId="2DE03FA3" w14:textId="4CD20915" w:rsidR="00F623DE" w:rsidRPr="006A6EC3" w:rsidRDefault="00F623DE" w:rsidP="00F623DE">
      <w:pPr>
        <w:pStyle w:val="MDPI43tablefooter"/>
        <w:spacing w:after="120"/>
        <w:ind w:left="284" w:rightChars="130" w:right="260"/>
      </w:pPr>
      <w:r w:rsidRPr="00F2678C">
        <w:rPr>
          <w:vertAlign w:val="superscript"/>
        </w:rPr>
        <w:t>1</w:t>
      </w:r>
      <w:r w:rsidRPr="00F2678C">
        <w:rPr>
          <w:rFonts w:eastAsia="맑은 고딕"/>
          <w:color w:val="auto"/>
          <w:lang w:eastAsia="ko-KR"/>
        </w:rPr>
        <w:t>Primer names: C/EBP homologous protein (</w:t>
      </w:r>
      <w:r w:rsidRPr="00F2678C">
        <w:rPr>
          <w:rFonts w:eastAsia="맑은 고딕"/>
          <w:i/>
          <w:color w:val="auto"/>
          <w:lang w:eastAsia="ko-KR"/>
        </w:rPr>
        <w:t>Chop</w:t>
      </w:r>
      <w:r w:rsidRPr="00F2678C">
        <w:rPr>
          <w:rFonts w:eastAsia="맑은 고딕"/>
          <w:color w:val="auto"/>
          <w:lang w:eastAsia="ko-KR"/>
        </w:rPr>
        <w:t xml:space="preserve">), </w:t>
      </w:r>
      <w:r w:rsidR="006A6EC3" w:rsidRPr="006A6EC3">
        <w:t>Janus kinase 2 (</w:t>
      </w:r>
      <w:r w:rsidR="006A6EC3" w:rsidRPr="006A6EC3">
        <w:rPr>
          <w:i/>
        </w:rPr>
        <w:t>Jak2</w:t>
      </w:r>
      <w:r w:rsidR="006A6EC3" w:rsidRPr="006A6EC3">
        <w:t xml:space="preserve">), </w:t>
      </w:r>
      <w:r w:rsidRPr="00F2678C">
        <w:rPr>
          <w:rFonts w:eastAsia="맑은 고딕"/>
          <w:color w:val="auto"/>
          <w:lang w:eastAsia="ko-KR"/>
        </w:rPr>
        <w:t>First apoptosis signal receptor (</w:t>
      </w:r>
      <w:r w:rsidRPr="00F2678C">
        <w:rPr>
          <w:rFonts w:eastAsia="맑은 고딕"/>
          <w:i/>
          <w:color w:val="auto"/>
          <w:lang w:eastAsia="ko-KR"/>
        </w:rPr>
        <w:t>Fas</w:t>
      </w:r>
      <w:r w:rsidRPr="00F2678C">
        <w:rPr>
          <w:rFonts w:eastAsia="맑은 고딕"/>
          <w:color w:val="auto"/>
          <w:lang w:eastAsia="ko-KR"/>
        </w:rPr>
        <w:t>), Nitric oxide synthase 2 (</w:t>
      </w:r>
      <w:r w:rsidRPr="00F2678C">
        <w:rPr>
          <w:rFonts w:eastAsia="맑은 고딕"/>
          <w:i/>
          <w:color w:val="auto"/>
          <w:lang w:eastAsia="ko-KR"/>
        </w:rPr>
        <w:t>Nos2</w:t>
      </w:r>
      <w:r w:rsidRPr="00F2678C">
        <w:rPr>
          <w:rFonts w:eastAsia="맑은 고딕"/>
          <w:color w:val="auto"/>
          <w:lang w:eastAsia="ko-KR"/>
        </w:rPr>
        <w:t>), Prostaglandin-endoperoxide synthase 2 (</w:t>
      </w:r>
      <w:r w:rsidRPr="00F2678C">
        <w:rPr>
          <w:rFonts w:eastAsia="맑은 고딕"/>
          <w:i/>
          <w:color w:val="auto"/>
          <w:lang w:eastAsia="ko-KR"/>
        </w:rPr>
        <w:t>Ptgs2</w:t>
      </w:r>
      <w:r w:rsidRPr="00F2678C">
        <w:rPr>
          <w:rFonts w:eastAsia="맑은 고딕"/>
          <w:color w:val="auto"/>
          <w:lang w:eastAsia="ko-KR"/>
        </w:rPr>
        <w:t xml:space="preserve">), Signal Transducer and Activator of Transcription </w:t>
      </w:r>
      <w:r w:rsidR="006A6EC3">
        <w:rPr>
          <w:rFonts w:eastAsia="맑은 고딕"/>
          <w:color w:val="auto"/>
          <w:lang w:eastAsia="ko-KR"/>
        </w:rPr>
        <w:t>1</w:t>
      </w:r>
      <w:r w:rsidRPr="00F2678C">
        <w:rPr>
          <w:rFonts w:eastAsia="맑은 고딕"/>
          <w:color w:val="auto"/>
          <w:lang w:eastAsia="ko-KR"/>
        </w:rPr>
        <w:t xml:space="preserve"> (</w:t>
      </w:r>
      <w:r w:rsidRPr="00F2678C">
        <w:rPr>
          <w:rFonts w:eastAsia="맑은 고딕" w:hint="eastAsia"/>
          <w:i/>
          <w:color w:val="auto"/>
          <w:lang w:eastAsia="ko-KR"/>
        </w:rPr>
        <w:t>S</w:t>
      </w:r>
      <w:r w:rsidRPr="00F2678C">
        <w:rPr>
          <w:rFonts w:eastAsia="맑은 고딕"/>
          <w:i/>
          <w:color w:val="auto"/>
          <w:lang w:eastAsia="ko-KR"/>
        </w:rPr>
        <w:t>tat</w:t>
      </w:r>
      <w:r w:rsidR="006A6EC3">
        <w:rPr>
          <w:rFonts w:eastAsia="맑은 고딕"/>
          <w:i/>
          <w:color w:val="auto"/>
          <w:lang w:eastAsia="ko-KR"/>
        </w:rPr>
        <w:t>1</w:t>
      </w:r>
      <w:r w:rsidRPr="00F2678C">
        <w:rPr>
          <w:rFonts w:eastAsia="맑은 고딕"/>
          <w:color w:val="auto"/>
          <w:lang w:eastAsia="ko-KR"/>
        </w:rPr>
        <w:t>),</w:t>
      </w:r>
      <w:r w:rsidR="006A6EC3">
        <w:rPr>
          <w:rFonts w:eastAsia="맑은 고딕"/>
          <w:color w:val="auto"/>
          <w:lang w:eastAsia="ko-KR"/>
        </w:rPr>
        <w:t xml:space="preserve"> </w:t>
      </w:r>
      <w:r w:rsidR="006A6EC3" w:rsidRPr="006A6EC3">
        <w:rPr>
          <w:rFonts w:eastAsia="맑은 고딕"/>
          <w:i/>
          <w:color w:val="auto"/>
          <w:lang w:eastAsia="ko-KR"/>
        </w:rPr>
        <w:lastRenderedPageBreak/>
        <w:t>Stat3</w:t>
      </w:r>
      <w:r w:rsidR="006A6EC3">
        <w:rPr>
          <w:rFonts w:eastAsia="맑은 고딕"/>
          <w:color w:val="auto"/>
          <w:lang w:eastAsia="ko-KR"/>
        </w:rPr>
        <w:t>,</w:t>
      </w:r>
      <w:r w:rsidRPr="00F2678C">
        <w:rPr>
          <w:rFonts w:eastAsia="맑은 고딕"/>
          <w:color w:val="auto"/>
          <w:lang w:eastAsia="ko-KR"/>
        </w:rPr>
        <w:t xml:space="preserve"> </w:t>
      </w:r>
      <w:r w:rsidRPr="00F2678C">
        <w:rPr>
          <w:rFonts w:eastAsia="맑은 고딕"/>
          <w:i/>
          <w:color w:val="auto"/>
          <w:lang w:eastAsia="ko-KR"/>
        </w:rPr>
        <w:t>c-Jun</w:t>
      </w:r>
      <w:r w:rsidRPr="00F2678C">
        <w:rPr>
          <w:rFonts w:eastAsia="맑은 고딕"/>
          <w:color w:val="auto"/>
          <w:lang w:eastAsia="ko-KR"/>
        </w:rPr>
        <w:t xml:space="preserve">, </w:t>
      </w:r>
      <w:r w:rsidRPr="00F2678C">
        <w:rPr>
          <w:rFonts w:eastAsia="맑은 고딕"/>
          <w:i/>
          <w:color w:val="auto"/>
          <w:lang w:eastAsia="ko-KR"/>
        </w:rPr>
        <w:t>c-Fos</w:t>
      </w:r>
      <w:r w:rsidRPr="00F2678C">
        <w:rPr>
          <w:rFonts w:eastAsia="맑은 고딕"/>
          <w:color w:val="auto"/>
          <w:lang w:eastAsia="ko-KR"/>
        </w:rPr>
        <w:t>,</w:t>
      </w:r>
      <w:r w:rsidR="00C43F9C" w:rsidRPr="00F2678C">
        <w:rPr>
          <w:rFonts w:eastAsia="맑은 고딕"/>
          <w:color w:val="auto"/>
          <w:lang w:eastAsia="ko-KR"/>
        </w:rPr>
        <w:t xml:space="preserve"> NLR family pyrin domain containing 3 (</w:t>
      </w:r>
      <w:r w:rsidR="00C43F9C" w:rsidRPr="00F2678C">
        <w:rPr>
          <w:rFonts w:eastAsiaTheme="minorEastAsia"/>
          <w:i/>
          <w:color w:val="auto"/>
          <w:szCs w:val="18"/>
          <w:lang w:eastAsia="ko-KR"/>
        </w:rPr>
        <w:t>Nlrp3</w:t>
      </w:r>
      <w:r w:rsidRPr="00F2678C">
        <w:rPr>
          <w:rFonts w:eastAsia="맑은 고딕"/>
          <w:i/>
          <w:color w:val="auto"/>
          <w:lang w:eastAsia="ko-KR"/>
        </w:rPr>
        <w:t>)</w:t>
      </w:r>
      <w:r w:rsidRPr="00F2678C">
        <w:rPr>
          <w:rFonts w:eastAsia="맑은 고딕"/>
          <w:color w:val="auto"/>
          <w:lang w:eastAsia="ko-KR"/>
        </w:rPr>
        <w:t>,</w:t>
      </w:r>
      <w:r w:rsidR="00C43F9C" w:rsidRPr="00F2678C">
        <w:rPr>
          <w:rFonts w:eastAsia="맑은 고딕"/>
          <w:color w:val="auto"/>
          <w:lang w:eastAsia="ko-KR"/>
        </w:rPr>
        <w:t xml:space="preserve"> X-box binding protein 1 (</w:t>
      </w:r>
      <w:r w:rsidR="00C43F9C" w:rsidRPr="00F2678C">
        <w:rPr>
          <w:rFonts w:eastAsia="맑은 고딕"/>
          <w:i/>
          <w:color w:val="auto"/>
          <w:lang w:eastAsia="ko-KR"/>
        </w:rPr>
        <w:t>Xbp1</w:t>
      </w:r>
      <w:r w:rsidR="00C43F9C" w:rsidRPr="00F2678C">
        <w:rPr>
          <w:rFonts w:eastAsia="맑은 고딕"/>
          <w:color w:val="auto"/>
          <w:lang w:eastAsia="ko-KR"/>
        </w:rPr>
        <w:t>)</w:t>
      </w:r>
      <w:r w:rsidRPr="00F2678C">
        <w:rPr>
          <w:rFonts w:eastAsia="맑은 고딕"/>
          <w:color w:val="auto"/>
          <w:lang w:eastAsia="ko-KR"/>
        </w:rPr>
        <w:t xml:space="preserve">, </w:t>
      </w:r>
      <w:r w:rsidR="006A6EC3" w:rsidRPr="006A6EC3">
        <w:t>growth arrest and DNA damage-inducible gene 34 (</w:t>
      </w:r>
      <w:r w:rsidR="006A6EC3" w:rsidRPr="006A6EC3">
        <w:rPr>
          <w:i/>
        </w:rPr>
        <w:t>Gadd34</w:t>
      </w:r>
      <w:r w:rsidR="006A6EC3" w:rsidRPr="006A6EC3">
        <w:t>), Apoptosis-associated speck-like protein containing a caspase recruitment do-main (</w:t>
      </w:r>
      <w:r w:rsidR="006A6EC3" w:rsidRPr="006A6EC3">
        <w:rPr>
          <w:i/>
        </w:rPr>
        <w:t>Asc</w:t>
      </w:r>
      <w:r w:rsidR="006A6EC3" w:rsidRPr="006A6EC3">
        <w:t>),</w:t>
      </w:r>
      <w:r w:rsidR="006A6EC3">
        <w:t xml:space="preserve"> </w:t>
      </w:r>
      <w:r w:rsidR="006A6EC3" w:rsidRPr="006A6EC3">
        <w:t>protease-activated receptor-2 (</w:t>
      </w:r>
      <w:r w:rsidR="006A6EC3" w:rsidRPr="006A6EC3">
        <w:rPr>
          <w:i/>
        </w:rPr>
        <w:t>Par-2</w:t>
      </w:r>
      <w:r w:rsidR="006A6EC3" w:rsidRPr="006A6EC3">
        <w:t xml:space="preserve">), </w:t>
      </w:r>
      <w:r w:rsidRPr="00F2678C">
        <w:rPr>
          <w:rFonts w:eastAsia="맑은 고딕"/>
          <w:color w:val="auto"/>
          <w:lang w:eastAsia="ko-KR"/>
        </w:rPr>
        <w:t xml:space="preserve">and </w:t>
      </w:r>
      <w:r w:rsidRPr="00F2678C">
        <w:rPr>
          <w:rFonts w:eastAsia="맑은 고딕"/>
          <w:i/>
          <w:lang w:eastAsia="ko-KR"/>
        </w:rPr>
        <w:t>β-Actin</w:t>
      </w:r>
      <w:r w:rsidRPr="00F2678C">
        <w:t>.</w:t>
      </w:r>
      <w:r w:rsidR="006A6EC3">
        <w:t xml:space="preserve"> </w:t>
      </w:r>
    </w:p>
    <w:p w14:paraId="3C12BE99" w14:textId="77777777" w:rsidR="00C43F9C" w:rsidRDefault="00C43F9C" w:rsidP="00F623DE">
      <w:pPr>
        <w:pStyle w:val="MDPI31text"/>
        <w:ind w:left="142" w:hangingChars="71" w:hanging="142"/>
      </w:pPr>
    </w:p>
    <w:p w14:paraId="12A184D1" w14:textId="2E2A8025" w:rsidR="00F623DE" w:rsidRPr="00DB76F6" w:rsidRDefault="00F623DE" w:rsidP="00FF6C72">
      <w:pPr>
        <w:pStyle w:val="MDPI31text"/>
        <w:ind w:left="139" w:hangingChars="71" w:hanging="139"/>
        <w:rPr>
          <w:b/>
        </w:rPr>
      </w:pPr>
      <w:r w:rsidRPr="00DB76F6">
        <w:rPr>
          <w:b/>
        </w:rPr>
        <w:t>1.</w:t>
      </w:r>
      <w:r w:rsidR="00772C89" w:rsidRPr="00DB76F6">
        <w:rPr>
          <w:b/>
        </w:rPr>
        <w:t>9</w:t>
      </w:r>
      <w:r w:rsidRPr="00DB76F6">
        <w:rPr>
          <w:b/>
        </w:rPr>
        <w:t xml:space="preserve">. Flow Cytometric Analysis for the level of </w:t>
      </w:r>
      <w:r w:rsidR="00360A4A" w:rsidRPr="00DB76F6">
        <w:rPr>
          <w:b/>
        </w:rPr>
        <w:t xml:space="preserve">Phosphorylated P38 MAPK </w:t>
      </w:r>
    </w:p>
    <w:p w14:paraId="5970F834" w14:textId="453B4021" w:rsidR="00F623DE" w:rsidRPr="00DB76F6" w:rsidRDefault="00F623DE" w:rsidP="00F623DE">
      <w:pPr>
        <w:pStyle w:val="MDPI31text"/>
        <w:ind w:left="0" w:firstLine="0"/>
        <w:rPr>
          <w:color w:val="auto"/>
        </w:rPr>
      </w:pPr>
      <w:r w:rsidRPr="00DB76F6">
        <w:rPr>
          <w:color w:val="auto"/>
        </w:rPr>
        <w:t xml:space="preserve">RAW 264.7 mouse macrophages were incubated </w:t>
      </w:r>
      <w:r w:rsidRPr="00DB76F6">
        <w:t>with LPS</w:t>
      </w:r>
      <w:r w:rsidRPr="00DB76F6">
        <w:rPr>
          <w:rFonts w:eastAsia="맑은 고딕" w:hint="eastAsia"/>
          <w:lang w:eastAsia="ko-KR"/>
        </w:rPr>
        <w:t xml:space="preserve"> </w:t>
      </w:r>
      <w:r w:rsidRPr="00DB76F6">
        <w:t xml:space="preserve">and/or </w:t>
      </w:r>
      <w:r w:rsidR="00345D24" w:rsidRPr="00DB76F6">
        <w:t>geniposide</w:t>
      </w:r>
      <w:r w:rsidRPr="00DB76F6">
        <w:t xml:space="preserve"> </w:t>
      </w:r>
      <w:r w:rsidRPr="00DB76F6">
        <w:rPr>
          <w:color w:val="auto"/>
        </w:rPr>
        <w:t>for 18 h in 6-well plates</w:t>
      </w:r>
      <w:r w:rsidRPr="00DB76F6">
        <w:t xml:space="preserve"> (3 x 10</w:t>
      </w:r>
      <w:r w:rsidRPr="00DB76F6">
        <w:rPr>
          <w:vertAlign w:val="superscript"/>
        </w:rPr>
        <w:t>5</w:t>
      </w:r>
      <w:r w:rsidRPr="00DB76F6">
        <w:t xml:space="preserve"> cells/well)</w:t>
      </w:r>
      <w:r w:rsidR="003A5D1F" w:rsidRPr="00DB76F6">
        <w:t>,</w:t>
      </w:r>
      <w:r w:rsidRPr="00DB76F6">
        <w:t xml:space="preserve"> and t</w:t>
      </w:r>
      <w:r w:rsidRPr="00DB76F6">
        <w:rPr>
          <w:color w:val="auto"/>
        </w:rPr>
        <w:t>he level</w:t>
      </w:r>
      <w:r w:rsidR="003A5D1F" w:rsidRPr="00DB76F6">
        <w:rPr>
          <w:color w:val="auto"/>
        </w:rPr>
        <w:t>s</w:t>
      </w:r>
      <w:r w:rsidRPr="00DB76F6">
        <w:rPr>
          <w:color w:val="auto"/>
        </w:rPr>
        <w:t xml:space="preserve"> of phosphorylated </w:t>
      </w:r>
      <w:r w:rsidR="00360A4A" w:rsidRPr="00DB76F6">
        <w:rPr>
          <w:color w:val="auto"/>
        </w:rPr>
        <w:t>P</w:t>
      </w:r>
      <w:r w:rsidRPr="00DB76F6">
        <w:rPr>
          <w:color w:val="auto"/>
        </w:rPr>
        <w:t xml:space="preserve">38 MAPK in RAW 264.7 were evaluated via flow cytometry using an Attune NxT flow cytometer (Thermo Fisher Scientific). Briefly, after 18 h of treatment, cells were stained with Fixable Viability Dye eFluor 520 (eBioscience 65-0867-18), </w:t>
      </w:r>
      <w:r w:rsidR="005C3150" w:rsidRPr="00DB76F6">
        <w:rPr>
          <w:color w:val="auto"/>
        </w:rPr>
        <w:t>phospho-P38 MAPK (T180/Y182) Antibody (eBioscience 17-9078-42</w:t>
      </w:r>
      <w:r w:rsidR="00DE2A63" w:rsidRPr="00DB76F6">
        <w:rPr>
          <w:color w:val="auto"/>
        </w:rPr>
        <w:t>),</w:t>
      </w:r>
      <w:r w:rsidR="005C3150" w:rsidRPr="00DB76F6">
        <w:t xml:space="preserve"> and</w:t>
      </w:r>
      <w:r w:rsidRPr="00DB76F6">
        <w:rPr>
          <w:color w:val="auto"/>
        </w:rPr>
        <w:t xml:space="preserve"> Mouse IgG2b kappa Isotype Control (eBioscience 12-4732-81) according to </w:t>
      </w:r>
      <w:r w:rsidR="003A5D1F" w:rsidRPr="00DB76F6">
        <w:rPr>
          <w:color w:val="auto"/>
        </w:rPr>
        <w:t xml:space="preserve">the </w:t>
      </w:r>
      <w:r w:rsidRPr="00DB76F6">
        <w:rPr>
          <w:color w:val="auto"/>
        </w:rPr>
        <w:t>manufacturer’s protocol. Fixable Viability Dye eFluor 520 was used to irreversibly label dead cells prior to cryopreservation, fixation</w:t>
      </w:r>
      <w:r w:rsidR="003A5D1F" w:rsidRPr="00DB76F6">
        <w:rPr>
          <w:color w:val="auto"/>
        </w:rPr>
        <w:t>,</w:t>
      </w:r>
      <w:r w:rsidRPr="00DB76F6">
        <w:rPr>
          <w:color w:val="auto"/>
        </w:rPr>
        <w:t xml:space="preserve"> and/or permeabilization procedures. C</w:t>
      </w:r>
      <w:r w:rsidRPr="00DB76F6">
        <w:rPr>
          <w:rFonts w:hint="eastAsia"/>
          <w:color w:val="auto"/>
        </w:rPr>
        <w:t>ells were fixed</w:t>
      </w:r>
      <w:r w:rsidRPr="00DB76F6">
        <w:rPr>
          <w:color w:val="auto"/>
        </w:rPr>
        <w:t xml:space="preserve"> with Fix Buffer (Thermo Fisher Scientific), </w:t>
      </w:r>
      <w:r w:rsidRPr="00DB76F6">
        <w:rPr>
          <w:rFonts w:hint="eastAsia"/>
          <w:color w:val="auto"/>
        </w:rPr>
        <w:t xml:space="preserve">permeabilized </w:t>
      </w:r>
      <w:r w:rsidRPr="00DB76F6">
        <w:rPr>
          <w:color w:val="auto"/>
        </w:rPr>
        <w:t xml:space="preserve">with Perm Buffer (Thermo Fisher Scientific), and stained with fluorescent-labeled antibodies. </w:t>
      </w:r>
      <w:r w:rsidR="003A5D1F" w:rsidRPr="00DB76F6">
        <w:rPr>
          <w:color w:val="auto"/>
        </w:rPr>
        <w:t>The s</w:t>
      </w:r>
      <w:r w:rsidRPr="00DB76F6">
        <w:rPr>
          <w:color w:val="auto"/>
        </w:rPr>
        <w:t>tained cells were analyzed on the</w:t>
      </w:r>
      <w:r w:rsidRPr="00DB76F6">
        <w:rPr>
          <w:rFonts w:hint="eastAsia"/>
          <w:color w:val="auto"/>
        </w:rPr>
        <w:t xml:space="preserve"> Attune NxT flow cytometer (Thermo Fisher Scientific)</w:t>
      </w:r>
      <w:r w:rsidRPr="00DB76F6">
        <w:rPr>
          <w:color w:val="auto"/>
        </w:rPr>
        <w:t xml:space="preserve">. A serial gating strategy used forward scatter versus side scatter plots, forward scatter versus viability stain plots, and the target antibody expression plots. Unstained cells were used as the negative controls for gating. </w:t>
      </w:r>
      <w:r w:rsidR="003A5D1F" w:rsidRPr="00DB76F6">
        <w:rPr>
          <w:color w:val="auto"/>
        </w:rPr>
        <w:t>The d</w:t>
      </w:r>
      <w:r w:rsidRPr="00DB76F6">
        <w:rPr>
          <w:color w:val="auto"/>
        </w:rPr>
        <w:t xml:space="preserve">ata were obtained from the mean fluorescent intensities of </w:t>
      </w:r>
      <w:r w:rsidR="003A5D1F" w:rsidRPr="00DB76F6">
        <w:rPr>
          <w:color w:val="auto"/>
        </w:rPr>
        <w:t xml:space="preserve">the </w:t>
      </w:r>
      <w:r w:rsidRPr="00DB76F6">
        <w:rPr>
          <w:color w:val="auto"/>
        </w:rPr>
        <w:t xml:space="preserve">samples. Details </w:t>
      </w:r>
      <w:r w:rsidR="003A5D1F" w:rsidRPr="00DB76F6">
        <w:rPr>
          <w:color w:val="auto"/>
        </w:rPr>
        <w:t>regarding</w:t>
      </w:r>
      <w:r w:rsidRPr="00DB76F6">
        <w:rPr>
          <w:color w:val="auto"/>
        </w:rPr>
        <w:t xml:space="preserve"> startup, proper calibration</w:t>
      </w:r>
      <w:r w:rsidR="003A5D1F" w:rsidRPr="00DB76F6">
        <w:rPr>
          <w:color w:val="auto"/>
        </w:rPr>
        <w:t>,</w:t>
      </w:r>
      <w:r w:rsidRPr="00DB76F6">
        <w:rPr>
          <w:color w:val="auto"/>
        </w:rPr>
        <w:t xml:space="preserve"> and operation of the Attune can be found in the Attune User Guide (</w:t>
      </w:r>
      <w:hyperlink r:id="rId8" w:history="1">
        <w:r w:rsidRPr="00DB76F6">
          <w:rPr>
            <w:rStyle w:val="a7"/>
          </w:rPr>
          <w:t>https://assets.thermofisher.com/TFS-Assets/LSG/manuals/100024235_AttuneNxT_HW_UG.pdf</w:t>
        </w:r>
      </w:hyperlink>
      <w:r w:rsidRPr="00DB76F6">
        <w:rPr>
          <w:color w:val="auto"/>
        </w:rPr>
        <w:t xml:space="preserve">). </w:t>
      </w:r>
      <w:r w:rsidR="001304C5" w:rsidRPr="00DB76F6">
        <w:rPr>
          <w:color w:val="auto"/>
        </w:rPr>
        <w:t>Mouse IgG2b kappa Isotype Control was used to confirm the specificity of phospho-P38 MAPK Antibody.</w:t>
      </w:r>
      <w:r w:rsidR="00E92B11" w:rsidRPr="00DB76F6">
        <w:rPr>
          <w:color w:val="auto"/>
        </w:rPr>
        <w:t xml:space="preserve"> Data were obtained from the mean fluorescent intensities of samples. </w:t>
      </w:r>
      <w:r w:rsidR="00D463C8" w:rsidRPr="00DB76F6">
        <w:rPr>
          <w:color w:val="auto"/>
        </w:rPr>
        <w:t>For analysis of raw data, Attune NxT software (Ther</w:t>
      </w:r>
      <w:r w:rsidR="00E92B11" w:rsidRPr="00DB76F6">
        <w:rPr>
          <w:color w:val="auto"/>
        </w:rPr>
        <w:t>mo Fisher Scientific) was used. Baicalein (25 µM) was used as a positive control.</w:t>
      </w:r>
    </w:p>
    <w:p w14:paraId="5DEEB828" w14:textId="77777777" w:rsidR="00F623DE" w:rsidRPr="00DB76F6" w:rsidRDefault="00F623DE" w:rsidP="00F623DE">
      <w:pPr>
        <w:pStyle w:val="MDPI31text"/>
        <w:ind w:left="142" w:hangingChars="71" w:hanging="142"/>
      </w:pPr>
    </w:p>
    <w:p w14:paraId="2A1BCB7F" w14:textId="38A10788" w:rsidR="00F623DE" w:rsidRPr="00DB76F6" w:rsidRDefault="00F623DE" w:rsidP="00FF6C72">
      <w:pPr>
        <w:pStyle w:val="MDPI31text"/>
        <w:ind w:left="139" w:hangingChars="71" w:hanging="139"/>
        <w:rPr>
          <w:b/>
        </w:rPr>
      </w:pPr>
      <w:r w:rsidRPr="00DB76F6">
        <w:rPr>
          <w:b/>
        </w:rPr>
        <w:t>1.</w:t>
      </w:r>
      <w:r w:rsidR="00772C89" w:rsidRPr="00DB76F6">
        <w:rPr>
          <w:b/>
        </w:rPr>
        <w:t>10</w:t>
      </w:r>
      <w:r w:rsidRPr="00DB76F6">
        <w:rPr>
          <w:b/>
        </w:rPr>
        <w:t>. Statistical analyses</w:t>
      </w:r>
    </w:p>
    <w:p w14:paraId="5E995CD4" w14:textId="08C1FD8A" w:rsidR="002B1E9E" w:rsidRPr="003944CD" w:rsidRDefault="00F623DE" w:rsidP="00996D9F">
      <w:pPr>
        <w:pStyle w:val="MDPI31text"/>
        <w:tabs>
          <w:tab w:val="left" w:pos="1134"/>
        </w:tabs>
        <w:ind w:left="0" w:firstLine="0"/>
      </w:pPr>
      <w:r w:rsidRPr="00DB76F6">
        <w:t>Data are representative of three independent experiments</w:t>
      </w:r>
      <w:r w:rsidR="003A5D1F" w:rsidRPr="00DB76F6">
        <w:t>,</w:t>
      </w:r>
      <w:r w:rsidRPr="00DB76F6">
        <w:rPr>
          <w:rFonts w:hint="eastAsia"/>
        </w:rPr>
        <w:t xml:space="preserve"> </w:t>
      </w:r>
      <w:r w:rsidRPr="00DB76F6">
        <w:t xml:space="preserve">and </w:t>
      </w:r>
      <w:r w:rsidR="003A5D1F" w:rsidRPr="00DB76F6">
        <w:t xml:space="preserve">the </w:t>
      </w:r>
      <w:r w:rsidRPr="00DB76F6">
        <w:t>values are expressed</w:t>
      </w:r>
      <w:r w:rsidRPr="00DB76F6">
        <w:rPr>
          <w:rFonts w:hint="eastAsia"/>
        </w:rPr>
        <w:t xml:space="preserve"> </w:t>
      </w:r>
      <w:r w:rsidRPr="00DB76F6">
        <w:t>in</w:t>
      </w:r>
      <w:r w:rsidRPr="00DB76F6">
        <w:rPr>
          <w:rFonts w:hint="eastAsia"/>
        </w:rPr>
        <w:t xml:space="preserve"> means ± </w:t>
      </w:r>
      <w:r w:rsidRPr="00DB76F6">
        <w:t>standard deviation (SD)</w:t>
      </w:r>
      <w:r w:rsidRPr="00DB76F6">
        <w:rPr>
          <w:rFonts w:hint="eastAsia"/>
        </w:rPr>
        <w:t xml:space="preserve">. </w:t>
      </w:r>
      <w:r w:rsidR="00996D9F" w:rsidRPr="00DB76F6">
        <w:t>After testing for the normality of data, significant</w:t>
      </w:r>
      <w:r w:rsidR="00996D9F" w:rsidRPr="00996D9F">
        <w:t xml:space="preserve"> differences were examined using one-way analysis of variance test followed by Tukey’s multiple comparison test or Kruskal-Wallis test, as appropriate. The program GraphPad Prism 6.0 software (GraphPad Software, San Diego, CA, USA) was used for statistics. A </w:t>
      </w:r>
      <w:r w:rsidR="00996D9F" w:rsidRPr="00996D9F">
        <w:rPr>
          <w:i/>
        </w:rPr>
        <w:t>p</w:t>
      </w:r>
      <w:r w:rsidR="00996D9F" w:rsidRPr="00996D9F">
        <w:t>-value &lt; 0.05 was considered statistically.</w:t>
      </w:r>
      <w:r w:rsidR="00996D9F">
        <w:t xml:space="preserve"> </w:t>
      </w:r>
    </w:p>
    <w:sectPr w:rsidR="002B1E9E" w:rsidRPr="003944CD" w:rsidSect="00CD0212">
      <w:headerReference w:type="even" r:id="rId9"/>
      <w:headerReference w:type="default" r:id="rId10"/>
      <w:footerReference w:type="default" r:id="rId11"/>
      <w:headerReference w:type="first" r:id="rId12"/>
      <w:footerReference w:type="first" r:id="rId13"/>
      <w:type w:val="continuous"/>
      <w:pgSz w:w="11906" w:h="16838" w:code="9"/>
      <w:pgMar w:top="1418" w:right="720" w:bottom="1077" w:left="720" w:header="1021" w:footer="340" w:gutter="0"/>
      <w:lnNumType w:countBy="1" w:distance="255" w:restart="continuous"/>
      <w:pgNumType w:start="1"/>
      <w:cols w:space="425"/>
      <w:titlePg/>
      <w:bidi/>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8CA1B" w16cex:dateUtc="2022-11-23T22:34:00Z"/>
  <w16cex:commentExtensible w16cex:durableId="2728F859" w16cex:dateUtc="2022-11-24T0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1AB8EF" w16cid:durableId="2728CA1B"/>
  <w16cid:commentId w16cid:paraId="02B811FF" w16cid:durableId="2728F8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228E9" w14:textId="77777777" w:rsidR="00B631AE" w:rsidRDefault="00B631AE">
      <w:pPr>
        <w:spacing w:line="240" w:lineRule="auto"/>
      </w:pPr>
      <w:r>
        <w:separator/>
      </w:r>
    </w:p>
  </w:endnote>
  <w:endnote w:type="continuationSeparator" w:id="0">
    <w:p w14:paraId="26D0FCB3" w14:textId="77777777" w:rsidR="00B631AE" w:rsidRDefault="00B631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等线">
    <w:altName w:val="바탕"/>
    <w:panose1 w:val="00000000000000000000"/>
    <w:charset w:val="81"/>
    <w:family w:val="roman"/>
    <w:notTrueType/>
    <w:pitch w:val="default"/>
  </w:font>
  <w:font w:name="맑은 고딕">
    <w:panose1 w:val="020B0503020000020004"/>
    <w:charset w:val="81"/>
    <w:family w:val="modern"/>
    <w:pitch w:val="variable"/>
    <w:sig w:usb0="9000002F" w:usb1="29D77CFB" w:usb2="00000012" w:usb3="00000000" w:csb0="00080001" w:csb1="00000000"/>
  </w:font>
  <w:font w:name="DengXian">
    <w:altName w:val="Arial Unicode MS"/>
    <w:panose1 w:val="02010600030101010101"/>
    <w:charset w:val="86"/>
    <w:family w:val="auto"/>
    <w:pitch w:val="variable"/>
    <w:sig w:usb0="00000000" w:usb1="38CF7CFA" w:usb2="00000016" w:usb3="00000000" w:csb0="0004000F"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0B94F" w14:textId="77777777" w:rsidR="00B15EFE" w:rsidRPr="00A71A3D" w:rsidRDefault="00B15EFE" w:rsidP="0004400E">
    <w:pPr>
      <w:pStyle w:val="a3"/>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00197" w14:textId="77777777" w:rsidR="00B15EFE" w:rsidRDefault="00B15EFE" w:rsidP="00A24869">
    <w:pPr>
      <w:pStyle w:val="MDPIfooterfirstpage"/>
      <w:pBdr>
        <w:top w:val="single" w:sz="4" w:space="0" w:color="000000"/>
      </w:pBdr>
      <w:adjustRightInd w:val="0"/>
      <w:snapToGrid w:val="0"/>
      <w:spacing w:before="480" w:line="100" w:lineRule="exact"/>
      <w:rPr>
        <w:i/>
        <w:iCs/>
        <w:lang w:val="fr-CH"/>
      </w:rPr>
    </w:pPr>
  </w:p>
  <w:p w14:paraId="4039BA9F" w14:textId="1A926FED" w:rsidR="00B15EFE" w:rsidRPr="008B308E" w:rsidRDefault="00646019" w:rsidP="004340C2">
    <w:pPr>
      <w:pStyle w:val="MDPIfooterfirstpage"/>
      <w:tabs>
        <w:tab w:val="clear" w:pos="8845"/>
        <w:tab w:val="right" w:pos="10466"/>
      </w:tabs>
      <w:spacing w:line="240" w:lineRule="auto"/>
      <w:jc w:val="both"/>
      <w:rPr>
        <w:lang w:val="fr-CH"/>
      </w:rPr>
    </w:pPr>
    <w:r>
      <w:rPr>
        <w:i/>
        <w:szCs w:val="16"/>
      </w:rPr>
      <w:t xml:space="preserve">Int. J. Mol. </w:t>
    </w:r>
    <w:proofErr w:type="spellStart"/>
    <w:r>
      <w:rPr>
        <w:i/>
        <w:szCs w:val="16"/>
      </w:rPr>
      <w:t>Sci</w:t>
    </w:r>
    <w:proofErr w:type="spellEnd"/>
    <w:r w:rsidR="00B15EFE" w:rsidRPr="00B04A30">
      <w:rPr>
        <w:i/>
        <w:iCs/>
        <w:lang w:val="fr-CH"/>
      </w:rPr>
      <w:t>.</w:t>
    </w:r>
    <w:r w:rsidR="00B15EFE" w:rsidRPr="00176A50">
      <w:rPr>
        <w:i/>
        <w:lang w:val="fr-CH"/>
      </w:rPr>
      <w:t xml:space="preserve"> </w:t>
    </w:r>
    <w:r w:rsidR="00B15EFE">
      <w:rPr>
        <w:b/>
        <w:iCs/>
        <w:lang w:val="fr-CH"/>
      </w:rPr>
      <w:t>202</w:t>
    </w:r>
    <w:r>
      <w:rPr>
        <w:b/>
        <w:iCs/>
        <w:lang w:val="fr-CH"/>
      </w:rPr>
      <w:t>4</w:t>
    </w:r>
    <w:r w:rsidR="00B15EFE" w:rsidRPr="00506BC0">
      <w:rPr>
        <w:iCs/>
        <w:lang w:val="fr-CH"/>
      </w:rPr>
      <w:t>,</w:t>
    </w:r>
    <w:r w:rsidR="00B15EFE">
      <w:rPr>
        <w:i/>
        <w:iCs/>
        <w:lang w:val="fr-CH"/>
      </w:rPr>
      <w:t xml:space="preserve"> </w:t>
    </w:r>
    <w:r>
      <w:rPr>
        <w:i/>
        <w:iCs/>
        <w:lang w:val="fr-CH"/>
      </w:rPr>
      <w:t>25</w:t>
    </w:r>
    <w:r w:rsidR="00B15EFE" w:rsidRPr="00506BC0">
      <w:rPr>
        <w:iCs/>
        <w:lang w:val="fr-CH"/>
      </w:rPr>
      <w:t xml:space="preserve">, </w:t>
    </w:r>
    <w:r w:rsidR="00B15EFE">
      <w:rPr>
        <w:iCs/>
        <w:lang w:val="fr-CH"/>
      </w:rPr>
      <w:t>x. https://doi.org/10.3390/xxxxx</w:t>
    </w:r>
    <w:r w:rsidR="00B15EFE" w:rsidRPr="008B308E">
      <w:rPr>
        <w:lang w:val="fr-CH"/>
      </w:rPr>
      <w:tab/>
      <w:t>www.mdpi.com/journal/</w:t>
    </w:r>
    <w:r>
      <w:rPr>
        <w:lang w:val="fr-CH"/>
      </w:rPr>
      <w:t>ijms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41020" w14:textId="77777777" w:rsidR="00B631AE" w:rsidRDefault="00B631AE">
      <w:pPr>
        <w:spacing w:line="240" w:lineRule="auto"/>
      </w:pPr>
      <w:r>
        <w:separator/>
      </w:r>
    </w:p>
  </w:footnote>
  <w:footnote w:type="continuationSeparator" w:id="0">
    <w:p w14:paraId="344D332C" w14:textId="77777777" w:rsidR="00B631AE" w:rsidRDefault="00B631A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7B684" w14:textId="77777777" w:rsidR="00B15EFE" w:rsidRDefault="00B15EFE" w:rsidP="0004400E">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9D866" w14:textId="32144918" w:rsidR="00B15EFE" w:rsidRDefault="00646019" w:rsidP="004340C2">
    <w:pPr>
      <w:tabs>
        <w:tab w:val="right" w:pos="10466"/>
      </w:tabs>
      <w:adjustRightInd w:val="0"/>
      <w:snapToGrid w:val="0"/>
      <w:spacing w:line="240" w:lineRule="auto"/>
      <w:rPr>
        <w:sz w:val="16"/>
      </w:rPr>
    </w:pPr>
    <w:r>
      <w:rPr>
        <w:i/>
        <w:sz w:val="16"/>
        <w:szCs w:val="16"/>
      </w:rPr>
      <w:t>Int. J. Mol. Sci</w:t>
    </w:r>
    <w:r w:rsidR="00B15EFE">
      <w:rPr>
        <w:i/>
        <w:sz w:val="16"/>
      </w:rPr>
      <w:t xml:space="preserve">. </w:t>
    </w:r>
    <w:r w:rsidR="00B15EFE">
      <w:rPr>
        <w:b/>
        <w:sz w:val="16"/>
      </w:rPr>
      <w:t>202</w:t>
    </w:r>
    <w:r>
      <w:rPr>
        <w:b/>
        <w:sz w:val="16"/>
      </w:rPr>
      <w:t>4</w:t>
    </w:r>
    <w:r w:rsidR="00B15EFE" w:rsidRPr="00506BC0">
      <w:rPr>
        <w:sz w:val="16"/>
      </w:rPr>
      <w:t>,</w:t>
    </w:r>
    <w:r w:rsidR="00B15EFE">
      <w:rPr>
        <w:i/>
        <w:sz w:val="16"/>
      </w:rPr>
      <w:t xml:space="preserve"> </w:t>
    </w:r>
    <w:r>
      <w:rPr>
        <w:i/>
        <w:sz w:val="16"/>
      </w:rPr>
      <w:t>25</w:t>
    </w:r>
    <w:r w:rsidR="00B15EFE">
      <w:rPr>
        <w:sz w:val="16"/>
      </w:rPr>
      <w:t>, x FOR PEER REVIEW</w:t>
    </w:r>
    <w:r w:rsidR="00B15EFE">
      <w:rPr>
        <w:sz w:val="16"/>
      </w:rPr>
      <w:tab/>
    </w:r>
    <w:r w:rsidR="00B15EFE">
      <w:rPr>
        <w:sz w:val="16"/>
      </w:rPr>
      <w:fldChar w:fldCharType="begin"/>
    </w:r>
    <w:r w:rsidR="00B15EFE">
      <w:rPr>
        <w:sz w:val="16"/>
      </w:rPr>
      <w:instrText xml:space="preserve"> PAGE   \* MERGEFORMAT </w:instrText>
    </w:r>
    <w:r w:rsidR="00B15EFE">
      <w:rPr>
        <w:sz w:val="16"/>
      </w:rPr>
      <w:fldChar w:fldCharType="separate"/>
    </w:r>
    <w:r w:rsidR="000E5F77">
      <w:rPr>
        <w:sz w:val="16"/>
      </w:rPr>
      <w:t>2</w:t>
    </w:r>
    <w:r w:rsidR="00B15EFE">
      <w:rPr>
        <w:sz w:val="16"/>
      </w:rPr>
      <w:fldChar w:fldCharType="end"/>
    </w:r>
    <w:r w:rsidR="00B15EFE">
      <w:rPr>
        <w:sz w:val="16"/>
      </w:rPr>
      <w:t xml:space="preserve"> of </w:t>
    </w:r>
    <w:r w:rsidR="00B15EFE">
      <w:rPr>
        <w:sz w:val="16"/>
      </w:rPr>
      <w:fldChar w:fldCharType="begin"/>
    </w:r>
    <w:r w:rsidR="00B15EFE">
      <w:rPr>
        <w:sz w:val="16"/>
      </w:rPr>
      <w:instrText xml:space="preserve"> NUMPAGES   \* MERGEFORMAT </w:instrText>
    </w:r>
    <w:r w:rsidR="00B15EFE">
      <w:rPr>
        <w:sz w:val="16"/>
      </w:rPr>
      <w:fldChar w:fldCharType="separate"/>
    </w:r>
    <w:r w:rsidR="000E5F77">
      <w:rPr>
        <w:sz w:val="16"/>
      </w:rPr>
      <w:t>4</w:t>
    </w:r>
    <w:r w:rsidR="00B15EFE">
      <w:rPr>
        <w:sz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7" w:type="dxa"/>
      <w:tblCellMar>
        <w:left w:w="0" w:type="dxa"/>
        <w:right w:w="0" w:type="dxa"/>
      </w:tblCellMar>
      <w:tblLook w:val="04A0" w:firstRow="1" w:lastRow="0" w:firstColumn="1" w:lastColumn="0" w:noHBand="0" w:noVBand="1"/>
    </w:tblPr>
    <w:tblGrid>
      <w:gridCol w:w="3679"/>
      <w:gridCol w:w="4535"/>
      <w:gridCol w:w="2273"/>
    </w:tblGrid>
    <w:tr w:rsidR="00B15EFE" w:rsidRPr="004340C2" w14:paraId="7505EF70" w14:textId="77777777" w:rsidTr="005332CC">
      <w:trPr>
        <w:trHeight w:val="686"/>
      </w:trPr>
      <w:tc>
        <w:tcPr>
          <w:tcW w:w="3679" w:type="dxa"/>
          <w:shd w:val="clear" w:color="auto" w:fill="auto"/>
          <w:vAlign w:val="center"/>
        </w:tcPr>
        <w:p w14:paraId="42E13CA5" w14:textId="43E554D3" w:rsidR="00B15EFE" w:rsidRPr="00762525" w:rsidRDefault="00646019" w:rsidP="004340C2">
          <w:pPr>
            <w:pStyle w:val="a4"/>
            <w:pBdr>
              <w:bottom w:val="none" w:sz="0" w:space="0" w:color="auto"/>
            </w:pBdr>
            <w:jc w:val="left"/>
            <w:rPr>
              <w:rFonts w:eastAsia="DengXian"/>
              <w:b/>
              <w:bCs/>
            </w:rPr>
          </w:pPr>
          <w:r w:rsidRPr="00762525">
            <w:rPr>
              <w:rFonts w:eastAsia="等线"/>
              <w:b/>
              <w:bCs/>
              <w:lang w:eastAsia="ko-KR"/>
            </w:rPr>
            <w:drawing>
              <wp:inline distT="0" distB="0" distL="0" distR="0" wp14:anchorId="4FF3FF1D" wp14:editId="5E8EDAEB">
                <wp:extent cx="1669415" cy="436245"/>
                <wp:effectExtent l="0" t="0" r="0" b="0"/>
                <wp:docPr id="1" name="Picture 3" descr="C:\Users\home\Desktop\logos\ijm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ijm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9415" cy="436245"/>
                        </a:xfrm>
                        <a:prstGeom prst="rect">
                          <a:avLst/>
                        </a:prstGeom>
                        <a:noFill/>
                        <a:ln>
                          <a:noFill/>
                        </a:ln>
                      </pic:spPr>
                    </pic:pic>
                  </a:graphicData>
                </a:graphic>
              </wp:inline>
            </w:drawing>
          </w:r>
        </w:p>
      </w:tc>
      <w:tc>
        <w:tcPr>
          <w:tcW w:w="4535" w:type="dxa"/>
          <w:shd w:val="clear" w:color="auto" w:fill="auto"/>
          <w:vAlign w:val="center"/>
        </w:tcPr>
        <w:p w14:paraId="55E06F4B" w14:textId="77777777" w:rsidR="00B15EFE" w:rsidRPr="00762525" w:rsidRDefault="00B15EFE" w:rsidP="004340C2">
          <w:pPr>
            <w:pStyle w:val="a4"/>
            <w:pBdr>
              <w:bottom w:val="none" w:sz="0" w:space="0" w:color="auto"/>
            </w:pBdr>
            <w:rPr>
              <w:rFonts w:eastAsia="DengXian"/>
              <w:b/>
              <w:bCs/>
            </w:rPr>
          </w:pPr>
        </w:p>
      </w:tc>
      <w:tc>
        <w:tcPr>
          <w:tcW w:w="2273" w:type="dxa"/>
          <w:shd w:val="clear" w:color="auto" w:fill="auto"/>
          <w:vAlign w:val="center"/>
        </w:tcPr>
        <w:p w14:paraId="1E1A60F2" w14:textId="77777777" w:rsidR="00B15EFE" w:rsidRPr="00762525" w:rsidRDefault="00B15EFE" w:rsidP="005332CC">
          <w:pPr>
            <w:pStyle w:val="a4"/>
            <w:pBdr>
              <w:bottom w:val="none" w:sz="0" w:space="0" w:color="auto"/>
            </w:pBdr>
            <w:jc w:val="right"/>
            <w:rPr>
              <w:rFonts w:eastAsia="DengXian"/>
              <w:b/>
              <w:bCs/>
            </w:rPr>
          </w:pPr>
          <w:r>
            <w:rPr>
              <w:rFonts w:eastAsia="DengXian"/>
              <w:b/>
              <w:bCs/>
              <w:lang w:eastAsia="ko-KR"/>
            </w:rPr>
            <w:drawing>
              <wp:inline distT="0" distB="0" distL="0" distR="0" wp14:anchorId="62C06D64" wp14:editId="0B317923">
                <wp:extent cx="540000" cy="360000"/>
                <wp:effectExtent l="0" t="0" r="0" b="254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7FBF9F7C" w14:textId="77777777" w:rsidR="00B15EFE" w:rsidRPr="00471F5A" w:rsidRDefault="00B15EFE" w:rsidP="00A24869">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468F5"/>
    <w:multiLevelType w:val="hybridMultilevel"/>
    <w:tmpl w:val="551C9AE8"/>
    <w:lvl w:ilvl="0" w:tplc="E264CA32">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52085B"/>
    <w:multiLevelType w:val="hybridMultilevel"/>
    <w:tmpl w:val="77E02BF6"/>
    <w:lvl w:ilvl="0" w:tplc="664029F2">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nsid w:val="4FC21429"/>
    <w:multiLevelType w:val="hybridMultilevel"/>
    <w:tmpl w:val="6DBA116E"/>
    <w:lvl w:ilvl="0" w:tplc="FB44F194">
      <w:start w:val="2"/>
      <w:numFmt w:val="bullet"/>
      <w:lvlText w:val="-"/>
      <w:lvlJc w:val="left"/>
      <w:pPr>
        <w:ind w:left="3393" w:hanging="360"/>
      </w:pPr>
      <w:rPr>
        <w:rFonts w:ascii="Palatino Linotype" w:eastAsia="Times New Roman" w:hAnsi="Palatino Linotype" w:cs="Times New Roman" w:hint="default"/>
      </w:rPr>
    </w:lvl>
    <w:lvl w:ilvl="1" w:tplc="04090003" w:tentative="1">
      <w:start w:val="1"/>
      <w:numFmt w:val="bullet"/>
      <w:lvlText w:val=""/>
      <w:lvlJc w:val="left"/>
      <w:pPr>
        <w:ind w:left="3833" w:hanging="400"/>
      </w:pPr>
      <w:rPr>
        <w:rFonts w:ascii="Wingdings" w:hAnsi="Wingdings" w:hint="default"/>
      </w:rPr>
    </w:lvl>
    <w:lvl w:ilvl="2" w:tplc="04090005" w:tentative="1">
      <w:start w:val="1"/>
      <w:numFmt w:val="bullet"/>
      <w:lvlText w:val=""/>
      <w:lvlJc w:val="left"/>
      <w:pPr>
        <w:ind w:left="4233" w:hanging="400"/>
      </w:pPr>
      <w:rPr>
        <w:rFonts w:ascii="Wingdings" w:hAnsi="Wingdings" w:hint="default"/>
      </w:rPr>
    </w:lvl>
    <w:lvl w:ilvl="3" w:tplc="04090001" w:tentative="1">
      <w:start w:val="1"/>
      <w:numFmt w:val="bullet"/>
      <w:lvlText w:val=""/>
      <w:lvlJc w:val="left"/>
      <w:pPr>
        <w:ind w:left="4633" w:hanging="400"/>
      </w:pPr>
      <w:rPr>
        <w:rFonts w:ascii="Wingdings" w:hAnsi="Wingdings" w:hint="default"/>
      </w:rPr>
    </w:lvl>
    <w:lvl w:ilvl="4" w:tplc="04090003" w:tentative="1">
      <w:start w:val="1"/>
      <w:numFmt w:val="bullet"/>
      <w:lvlText w:val=""/>
      <w:lvlJc w:val="left"/>
      <w:pPr>
        <w:ind w:left="5033" w:hanging="400"/>
      </w:pPr>
      <w:rPr>
        <w:rFonts w:ascii="Wingdings" w:hAnsi="Wingdings" w:hint="default"/>
      </w:rPr>
    </w:lvl>
    <w:lvl w:ilvl="5" w:tplc="04090005" w:tentative="1">
      <w:start w:val="1"/>
      <w:numFmt w:val="bullet"/>
      <w:lvlText w:val=""/>
      <w:lvlJc w:val="left"/>
      <w:pPr>
        <w:ind w:left="5433" w:hanging="400"/>
      </w:pPr>
      <w:rPr>
        <w:rFonts w:ascii="Wingdings" w:hAnsi="Wingdings" w:hint="default"/>
      </w:rPr>
    </w:lvl>
    <w:lvl w:ilvl="6" w:tplc="04090001" w:tentative="1">
      <w:start w:val="1"/>
      <w:numFmt w:val="bullet"/>
      <w:lvlText w:val=""/>
      <w:lvlJc w:val="left"/>
      <w:pPr>
        <w:ind w:left="5833" w:hanging="400"/>
      </w:pPr>
      <w:rPr>
        <w:rFonts w:ascii="Wingdings" w:hAnsi="Wingdings" w:hint="default"/>
      </w:rPr>
    </w:lvl>
    <w:lvl w:ilvl="7" w:tplc="04090003" w:tentative="1">
      <w:start w:val="1"/>
      <w:numFmt w:val="bullet"/>
      <w:lvlText w:val=""/>
      <w:lvlJc w:val="left"/>
      <w:pPr>
        <w:ind w:left="6233" w:hanging="400"/>
      </w:pPr>
      <w:rPr>
        <w:rFonts w:ascii="Wingdings" w:hAnsi="Wingdings" w:hint="default"/>
      </w:rPr>
    </w:lvl>
    <w:lvl w:ilvl="8" w:tplc="04090005" w:tentative="1">
      <w:start w:val="1"/>
      <w:numFmt w:val="bullet"/>
      <w:lvlText w:val=""/>
      <w:lvlJc w:val="left"/>
      <w:pPr>
        <w:ind w:left="6633" w:hanging="400"/>
      </w:pPr>
      <w:rPr>
        <w:rFonts w:ascii="Wingdings" w:hAnsi="Wingdings" w:hint="default"/>
      </w:rPr>
    </w:lvl>
  </w:abstractNum>
  <w:abstractNum w:abstractNumId="8">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nsid w:val="70012E46"/>
    <w:multiLevelType w:val="hybridMultilevel"/>
    <w:tmpl w:val="7946DCD0"/>
    <w:lvl w:ilvl="0" w:tplc="5C06B1C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311A3B"/>
    <w:multiLevelType w:val="hybridMultilevel"/>
    <w:tmpl w:val="5EB4AE68"/>
    <w:lvl w:ilvl="0" w:tplc="42505D78">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num w:numId="1">
    <w:abstractNumId w:val="4"/>
  </w:num>
  <w:num w:numId="2">
    <w:abstractNumId w:val="6"/>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2"/>
  </w:num>
  <w:num w:numId="8">
    <w:abstractNumId w:val="9"/>
  </w:num>
  <w:num w:numId="9">
    <w:abstractNumId w:val="2"/>
  </w:num>
  <w:num w:numId="10">
    <w:abstractNumId w:val="9"/>
  </w:num>
  <w:num w:numId="11">
    <w:abstractNumId w:val="2"/>
  </w:num>
  <w:num w:numId="12">
    <w:abstractNumId w:val="11"/>
  </w:num>
  <w:num w:numId="13">
    <w:abstractNumId w:val="9"/>
  </w:num>
  <w:num w:numId="14">
    <w:abstractNumId w:val="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8"/>
  </w:num>
  <w:num w:numId="20">
    <w:abstractNumId w:val="0"/>
  </w:num>
  <w:num w:numId="21">
    <w:abstractNumId w:val="9"/>
  </w:num>
  <w:num w:numId="22">
    <w:abstractNumId w:val="2"/>
  </w:num>
  <w:num w:numId="23">
    <w:abstractNumId w:val="0"/>
  </w:num>
  <w:num w:numId="24">
    <w:abstractNumId w:val="1"/>
  </w:num>
  <w:num w:numId="25">
    <w:abstractNumId w:val="12"/>
  </w:num>
  <w:num w:numId="26">
    <w:abstractNumId w:val="1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8BE"/>
    <w:rsid w:val="0000539B"/>
    <w:rsid w:val="00006F62"/>
    <w:rsid w:val="00010844"/>
    <w:rsid w:val="000157D8"/>
    <w:rsid w:val="00020CF3"/>
    <w:rsid w:val="00022463"/>
    <w:rsid w:val="0002702C"/>
    <w:rsid w:val="000313A0"/>
    <w:rsid w:val="00034360"/>
    <w:rsid w:val="000348D8"/>
    <w:rsid w:val="00035FC3"/>
    <w:rsid w:val="000415D0"/>
    <w:rsid w:val="000423DE"/>
    <w:rsid w:val="00042AF8"/>
    <w:rsid w:val="0004400E"/>
    <w:rsid w:val="00044C0A"/>
    <w:rsid w:val="000468A3"/>
    <w:rsid w:val="0004721A"/>
    <w:rsid w:val="00051EEA"/>
    <w:rsid w:val="00053504"/>
    <w:rsid w:val="00053EBF"/>
    <w:rsid w:val="00055A7D"/>
    <w:rsid w:val="00060114"/>
    <w:rsid w:val="00060650"/>
    <w:rsid w:val="000634DB"/>
    <w:rsid w:val="000661F2"/>
    <w:rsid w:val="0006627C"/>
    <w:rsid w:val="000809F6"/>
    <w:rsid w:val="0008129E"/>
    <w:rsid w:val="0008151C"/>
    <w:rsid w:val="0009213F"/>
    <w:rsid w:val="000946A0"/>
    <w:rsid w:val="00095731"/>
    <w:rsid w:val="00097D29"/>
    <w:rsid w:val="000A0F93"/>
    <w:rsid w:val="000A334F"/>
    <w:rsid w:val="000A35FE"/>
    <w:rsid w:val="000A5B58"/>
    <w:rsid w:val="000A6344"/>
    <w:rsid w:val="000A6B24"/>
    <w:rsid w:val="000A77E4"/>
    <w:rsid w:val="000B1F19"/>
    <w:rsid w:val="000B507E"/>
    <w:rsid w:val="000B5171"/>
    <w:rsid w:val="000B5E3F"/>
    <w:rsid w:val="000B74CE"/>
    <w:rsid w:val="000C151B"/>
    <w:rsid w:val="000C1A59"/>
    <w:rsid w:val="000C2465"/>
    <w:rsid w:val="000C504E"/>
    <w:rsid w:val="000C69F7"/>
    <w:rsid w:val="000C6F97"/>
    <w:rsid w:val="000D1C00"/>
    <w:rsid w:val="000D1E00"/>
    <w:rsid w:val="000D3712"/>
    <w:rsid w:val="000D37BB"/>
    <w:rsid w:val="000D5BBB"/>
    <w:rsid w:val="000D68E4"/>
    <w:rsid w:val="000D7969"/>
    <w:rsid w:val="000E5F77"/>
    <w:rsid w:val="000F3433"/>
    <w:rsid w:val="000F4724"/>
    <w:rsid w:val="000F6D21"/>
    <w:rsid w:val="000F7BE9"/>
    <w:rsid w:val="0010169A"/>
    <w:rsid w:val="001029F9"/>
    <w:rsid w:val="001150AA"/>
    <w:rsid w:val="0011622A"/>
    <w:rsid w:val="00120C0D"/>
    <w:rsid w:val="00122EBA"/>
    <w:rsid w:val="00123A57"/>
    <w:rsid w:val="00130104"/>
    <w:rsid w:val="001304C5"/>
    <w:rsid w:val="001332D6"/>
    <w:rsid w:val="00133479"/>
    <w:rsid w:val="00134B54"/>
    <w:rsid w:val="00137988"/>
    <w:rsid w:val="00144467"/>
    <w:rsid w:val="0016006D"/>
    <w:rsid w:val="0016173C"/>
    <w:rsid w:val="00165740"/>
    <w:rsid w:val="00172300"/>
    <w:rsid w:val="001772EF"/>
    <w:rsid w:val="00183238"/>
    <w:rsid w:val="00190607"/>
    <w:rsid w:val="00194E63"/>
    <w:rsid w:val="00197A19"/>
    <w:rsid w:val="001A0593"/>
    <w:rsid w:val="001A1E76"/>
    <w:rsid w:val="001A6217"/>
    <w:rsid w:val="001B07E6"/>
    <w:rsid w:val="001B2160"/>
    <w:rsid w:val="001B3CFC"/>
    <w:rsid w:val="001B6C42"/>
    <w:rsid w:val="001C0470"/>
    <w:rsid w:val="001C0CFC"/>
    <w:rsid w:val="001C1EBA"/>
    <w:rsid w:val="001C28CD"/>
    <w:rsid w:val="001C2AA6"/>
    <w:rsid w:val="001C3A23"/>
    <w:rsid w:val="001C3A3C"/>
    <w:rsid w:val="001D349C"/>
    <w:rsid w:val="001D3A53"/>
    <w:rsid w:val="001D4D23"/>
    <w:rsid w:val="001D4FE6"/>
    <w:rsid w:val="001D557B"/>
    <w:rsid w:val="001D5E90"/>
    <w:rsid w:val="001D76E1"/>
    <w:rsid w:val="001E04DD"/>
    <w:rsid w:val="001E13BF"/>
    <w:rsid w:val="001E13DB"/>
    <w:rsid w:val="001E2AEB"/>
    <w:rsid w:val="001E4A07"/>
    <w:rsid w:val="001E5784"/>
    <w:rsid w:val="001E7A43"/>
    <w:rsid w:val="001F3DD2"/>
    <w:rsid w:val="001F7D25"/>
    <w:rsid w:val="0020081E"/>
    <w:rsid w:val="00200E3D"/>
    <w:rsid w:val="0020173B"/>
    <w:rsid w:val="00201A63"/>
    <w:rsid w:val="00204A92"/>
    <w:rsid w:val="002053C6"/>
    <w:rsid w:val="00211F69"/>
    <w:rsid w:val="0021217E"/>
    <w:rsid w:val="002127D6"/>
    <w:rsid w:val="00217B71"/>
    <w:rsid w:val="00221344"/>
    <w:rsid w:val="002223FC"/>
    <w:rsid w:val="00224B7F"/>
    <w:rsid w:val="00230F51"/>
    <w:rsid w:val="00232A98"/>
    <w:rsid w:val="00233D56"/>
    <w:rsid w:val="0023646A"/>
    <w:rsid w:val="00237C24"/>
    <w:rsid w:val="00240486"/>
    <w:rsid w:val="002434A5"/>
    <w:rsid w:val="00247C1B"/>
    <w:rsid w:val="00250803"/>
    <w:rsid w:val="00253A07"/>
    <w:rsid w:val="00264470"/>
    <w:rsid w:val="002718BE"/>
    <w:rsid w:val="0027474A"/>
    <w:rsid w:val="002768EC"/>
    <w:rsid w:val="00283D61"/>
    <w:rsid w:val="00287ECA"/>
    <w:rsid w:val="00291757"/>
    <w:rsid w:val="002946D9"/>
    <w:rsid w:val="002A5093"/>
    <w:rsid w:val="002B1E9E"/>
    <w:rsid w:val="002C017B"/>
    <w:rsid w:val="002C1902"/>
    <w:rsid w:val="002C481C"/>
    <w:rsid w:val="002C5F49"/>
    <w:rsid w:val="002C6A60"/>
    <w:rsid w:val="002E1FD3"/>
    <w:rsid w:val="002E255F"/>
    <w:rsid w:val="002E4522"/>
    <w:rsid w:val="002F0A45"/>
    <w:rsid w:val="002F19BE"/>
    <w:rsid w:val="002F4EB4"/>
    <w:rsid w:val="002F65A2"/>
    <w:rsid w:val="003040E0"/>
    <w:rsid w:val="0030494F"/>
    <w:rsid w:val="003103DF"/>
    <w:rsid w:val="00313D53"/>
    <w:rsid w:val="003146C2"/>
    <w:rsid w:val="00316159"/>
    <w:rsid w:val="00316774"/>
    <w:rsid w:val="00324292"/>
    <w:rsid w:val="00324F68"/>
    <w:rsid w:val="00326141"/>
    <w:rsid w:val="00331431"/>
    <w:rsid w:val="0033711E"/>
    <w:rsid w:val="00340BD1"/>
    <w:rsid w:val="00345340"/>
    <w:rsid w:val="00345D24"/>
    <w:rsid w:val="00346BE1"/>
    <w:rsid w:val="003507EA"/>
    <w:rsid w:val="003517FE"/>
    <w:rsid w:val="00357E10"/>
    <w:rsid w:val="00357EE6"/>
    <w:rsid w:val="00360A4A"/>
    <w:rsid w:val="003642DE"/>
    <w:rsid w:val="00367B0A"/>
    <w:rsid w:val="00370EC8"/>
    <w:rsid w:val="0037766B"/>
    <w:rsid w:val="00377F4F"/>
    <w:rsid w:val="003809F1"/>
    <w:rsid w:val="00391890"/>
    <w:rsid w:val="0039333A"/>
    <w:rsid w:val="003944CD"/>
    <w:rsid w:val="00396192"/>
    <w:rsid w:val="003A15E9"/>
    <w:rsid w:val="003A5444"/>
    <w:rsid w:val="003A5D1F"/>
    <w:rsid w:val="003A791E"/>
    <w:rsid w:val="003B14E6"/>
    <w:rsid w:val="003B3615"/>
    <w:rsid w:val="003B53E7"/>
    <w:rsid w:val="003B6B59"/>
    <w:rsid w:val="003B7C96"/>
    <w:rsid w:val="003C38FE"/>
    <w:rsid w:val="003C5E01"/>
    <w:rsid w:val="003C734D"/>
    <w:rsid w:val="003D3232"/>
    <w:rsid w:val="003D567C"/>
    <w:rsid w:val="003E012D"/>
    <w:rsid w:val="003F081B"/>
    <w:rsid w:val="003F0E95"/>
    <w:rsid w:val="003F1497"/>
    <w:rsid w:val="003F44D5"/>
    <w:rsid w:val="003F7C33"/>
    <w:rsid w:val="00401D30"/>
    <w:rsid w:val="004040B1"/>
    <w:rsid w:val="004130F6"/>
    <w:rsid w:val="0041581F"/>
    <w:rsid w:val="0041628C"/>
    <w:rsid w:val="00420FC0"/>
    <w:rsid w:val="00430602"/>
    <w:rsid w:val="004340C2"/>
    <w:rsid w:val="00443AAF"/>
    <w:rsid w:val="004443A2"/>
    <w:rsid w:val="00445192"/>
    <w:rsid w:val="0044696E"/>
    <w:rsid w:val="004504C9"/>
    <w:rsid w:val="004505CF"/>
    <w:rsid w:val="0045337A"/>
    <w:rsid w:val="00456A84"/>
    <w:rsid w:val="00456B11"/>
    <w:rsid w:val="00457026"/>
    <w:rsid w:val="00462C9E"/>
    <w:rsid w:val="004669B4"/>
    <w:rsid w:val="0046725B"/>
    <w:rsid w:val="00471F5A"/>
    <w:rsid w:val="00475043"/>
    <w:rsid w:val="004825EC"/>
    <w:rsid w:val="00483B14"/>
    <w:rsid w:val="00493DD4"/>
    <w:rsid w:val="004A046F"/>
    <w:rsid w:val="004A25A8"/>
    <w:rsid w:val="004A5352"/>
    <w:rsid w:val="004B1CC6"/>
    <w:rsid w:val="004B2C32"/>
    <w:rsid w:val="004B716F"/>
    <w:rsid w:val="004C0123"/>
    <w:rsid w:val="004C221C"/>
    <w:rsid w:val="004D109B"/>
    <w:rsid w:val="004D3B65"/>
    <w:rsid w:val="004D66CD"/>
    <w:rsid w:val="004D7B21"/>
    <w:rsid w:val="004E2116"/>
    <w:rsid w:val="004E5174"/>
    <w:rsid w:val="004E7876"/>
    <w:rsid w:val="004E7FBE"/>
    <w:rsid w:val="00500CBA"/>
    <w:rsid w:val="00501D0F"/>
    <w:rsid w:val="00503A99"/>
    <w:rsid w:val="00505006"/>
    <w:rsid w:val="00506BC0"/>
    <w:rsid w:val="0051540B"/>
    <w:rsid w:val="005231D0"/>
    <w:rsid w:val="00531498"/>
    <w:rsid w:val="0053256F"/>
    <w:rsid w:val="005327A8"/>
    <w:rsid w:val="005332CC"/>
    <w:rsid w:val="00534220"/>
    <w:rsid w:val="00535D3C"/>
    <w:rsid w:val="0054290E"/>
    <w:rsid w:val="00543342"/>
    <w:rsid w:val="005439BE"/>
    <w:rsid w:val="00543B70"/>
    <w:rsid w:val="00545723"/>
    <w:rsid w:val="005476FF"/>
    <w:rsid w:val="00552497"/>
    <w:rsid w:val="00553AB1"/>
    <w:rsid w:val="00557B4B"/>
    <w:rsid w:val="00560AD5"/>
    <w:rsid w:val="00562123"/>
    <w:rsid w:val="005655E9"/>
    <w:rsid w:val="005664C6"/>
    <w:rsid w:val="00570A5F"/>
    <w:rsid w:val="00575932"/>
    <w:rsid w:val="00580706"/>
    <w:rsid w:val="00581775"/>
    <w:rsid w:val="0058265C"/>
    <w:rsid w:val="00590B75"/>
    <w:rsid w:val="00592E9C"/>
    <w:rsid w:val="005A4951"/>
    <w:rsid w:val="005B6005"/>
    <w:rsid w:val="005C1DC2"/>
    <w:rsid w:val="005C3150"/>
    <w:rsid w:val="005C5DE8"/>
    <w:rsid w:val="005D29D6"/>
    <w:rsid w:val="005E50BD"/>
    <w:rsid w:val="005E5103"/>
    <w:rsid w:val="005E6BB3"/>
    <w:rsid w:val="005E7EE1"/>
    <w:rsid w:val="005F45B9"/>
    <w:rsid w:val="00600059"/>
    <w:rsid w:val="00605718"/>
    <w:rsid w:val="00606DEF"/>
    <w:rsid w:val="006115EE"/>
    <w:rsid w:val="00617CE2"/>
    <w:rsid w:val="006205C4"/>
    <w:rsid w:val="0062075C"/>
    <w:rsid w:val="00621C96"/>
    <w:rsid w:val="0062340F"/>
    <w:rsid w:val="00624592"/>
    <w:rsid w:val="00625603"/>
    <w:rsid w:val="00627217"/>
    <w:rsid w:val="0062739D"/>
    <w:rsid w:val="00627CB2"/>
    <w:rsid w:val="00633EDF"/>
    <w:rsid w:val="00634593"/>
    <w:rsid w:val="00634DA3"/>
    <w:rsid w:val="00645D18"/>
    <w:rsid w:val="00646019"/>
    <w:rsid w:val="00646BFC"/>
    <w:rsid w:val="00650D1A"/>
    <w:rsid w:val="006538B5"/>
    <w:rsid w:val="006549B2"/>
    <w:rsid w:val="0065560B"/>
    <w:rsid w:val="006571D7"/>
    <w:rsid w:val="006655E7"/>
    <w:rsid w:val="00666C02"/>
    <w:rsid w:val="00667F24"/>
    <w:rsid w:val="00670CA7"/>
    <w:rsid w:val="00671500"/>
    <w:rsid w:val="00674234"/>
    <w:rsid w:val="00677D46"/>
    <w:rsid w:val="0068381A"/>
    <w:rsid w:val="00686D0C"/>
    <w:rsid w:val="00691777"/>
    <w:rsid w:val="00692393"/>
    <w:rsid w:val="00692C1B"/>
    <w:rsid w:val="006971BB"/>
    <w:rsid w:val="006A6EC3"/>
    <w:rsid w:val="006A74F9"/>
    <w:rsid w:val="006B7746"/>
    <w:rsid w:val="006C1B72"/>
    <w:rsid w:val="006C530C"/>
    <w:rsid w:val="006C6DB8"/>
    <w:rsid w:val="006D3DD7"/>
    <w:rsid w:val="006D7143"/>
    <w:rsid w:val="006D7D99"/>
    <w:rsid w:val="006E08CD"/>
    <w:rsid w:val="006E1A5C"/>
    <w:rsid w:val="006E3381"/>
    <w:rsid w:val="006F015E"/>
    <w:rsid w:val="006F04CE"/>
    <w:rsid w:val="006F1E79"/>
    <w:rsid w:val="006F32F6"/>
    <w:rsid w:val="006F4180"/>
    <w:rsid w:val="006F797D"/>
    <w:rsid w:val="0070171A"/>
    <w:rsid w:val="00701A10"/>
    <w:rsid w:val="007046ED"/>
    <w:rsid w:val="00710E63"/>
    <w:rsid w:val="00711ED2"/>
    <w:rsid w:val="0071323C"/>
    <w:rsid w:val="007151D0"/>
    <w:rsid w:val="007164E4"/>
    <w:rsid w:val="00722347"/>
    <w:rsid w:val="00722E12"/>
    <w:rsid w:val="0072576F"/>
    <w:rsid w:val="00727AE8"/>
    <w:rsid w:val="00737D0D"/>
    <w:rsid w:val="00746CB0"/>
    <w:rsid w:val="007471D3"/>
    <w:rsid w:val="00747B8B"/>
    <w:rsid w:val="00755571"/>
    <w:rsid w:val="007603BC"/>
    <w:rsid w:val="00762525"/>
    <w:rsid w:val="007637A0"/>
    <w:rsid w:val="007648D8"/>
    <w:rsid w:val="00772C89"/>
    <w:rsid w:val="0078179B"/>
    <w:rsid w:val="00783AAC"/>
    <w:rsid w:val="00784F87"/>
    <w:rsid w:val="00786DC6"/>
    <w:rsid w:val="00792DC7"/>
    <w:rsid w:val="00797AB1"/>
    <w:rsid w:val="007A5251"/>
    <w:rsid w:val="007C021F"/>
    <w:rsid w:val="007C0E99"/>
    <w:rsid w:val="007D0ABE"/>
    <w:rsid w:val="007D6764"/>
    <w:rsid w:val="007E120A"/>
    <w:rsid w:val="007E1907"/>
    <w:rsid w:val="007E2A47"/>
    <w:rsid w:val="007E3353"/>
    <w:rsid w:val="007F4D62"/>
    <w:rsid w:val="007F5BEC"/>
    <w:rsid w:val="007F792B"/>
    <w:rsid w:val="008001F9"/>
    <w:rsid w:val="00801200"/>
    <w:rsid w:val="00803EBA"/>
    <w:rsid w:val="00804595"/>
    <w:rsid w:val="008145DC"/>
    <w:rsid w:val="00815D1E"/>
    <w:rsid w:val="0081653A"/>
    <w:rsid w:val="008176FF"/>
    <w:rsid w:val="00823870"/>
    <w:rsid w:val="0082500C"/>
    <w:rsid w:val="008260D6"/>
    <w:rsid w:val="00832B55"/>
    <w:rsid w:val="00833093"/>
    <w:rsid w:val="00843AAF"/>
    <w:rsid w:val="008474ED"/>
    <w:rsid w:val="00852634"/>
    <w:rsid w:val="00856514"/>
    <w:rsid w:val="00862B31"/>
    <w:rsid w:val="008635DE"/>
    <w:rsid w:val="00864230"/>
    <w:rsid w:val="008645D6"/>
    <w:rsid w:val="008669FB"/>
    <w:rsid w:val="00871285"/>
    <w:rsid w:val="00872877"/>
    <w:rsid w:val="00872C09"/>
    <w:rsid w:val="00894D45"/>
    <w:rsid w:val="00896694"/>
    <w:rsid w:val="008A0CC6"/>
    <w:rsid w:val="008A3D4D"/>
    <w:rsid w:val="008A6CBB"/>
    <w:rsid w:val="008B2550"/>
    <w:rsid w:val="008B6A2E"/>
    <w:rsid w:val="008C01F6"/>
    <w:rsid w:val="008C1897"/>
    <w:rsid w:val="008C2D46"/>
    <w:rsid w:val="008C5BCE"/>
    <w:rsid w:val="008D1A34"/>
    <w:rsid w:val="008D69AF"/>
    <w:rsid w:val="008E53E3"/>
    <w:rsid w:val="008E6A9A"/>
    <w:rsid w:val="008F0548"/>
    <w:rsid w:val="008F2594"/>
    <w:rsid w:val="008F26D1"/>
    <w:rsid w:val="008F2785"/>
    <w:rsid w:val="0090098F"/>
    <w:rsid w:val="00911F22"/>
    <w:rsid w:val="009150D4"/>
    <w:rsid w:val="009161FF"/>
    <w:rsid w:val="00920C19"/>
    <w:rsid w:val="0092648D"/>
    <w:rsid w:val="0094699E"/>
    <w:rsid w:val="0095435A"/>
    <w:rsid w:val="00954A76"/>
    <w:rsid w:val="009624B8"/>
    <w:rsid w:val="00962961"/>
    <w:rsid w:val="009669A1"/>
    <w:rsid w:val="00970C5C"/>
    <w:rsid w:val="009753D8"/>
    <w:rsid w:val="00980EC5"/>
    <w:rsid w:val="00984002"/>
    <w:rsid w:val="00984E3F"/>
    <w:rsid w:val="00993114"/>
    <w:rsid w:val="009943E0"/>
    <w:rsid w:val="00994AF7"/>
    <w:rsid w:val="00995D0F"/>
    <w:rsid w:val="00996D9F"/>
    <w:rsid w:val="00996EEC"/>
    <w:rsid w:val="009A0ED2"/>
    <w:rsid w:val="009A4A7B"/>
    <w:rsid w:val="009A7262"/>
    <w:rsid w:val="009B2468"/>
    <w:rsid w:val="009B3D7F"/>
    <w:rsid w:val="009B54F4"/>
    <w:rsid w:val="009B551E"/>
    <w:rsid w:val="009B5F1F"/>
    <w:rsid w:val="009C1F04"/>
    <w:rsid w:val="009C3AE3"/>
    <w:rsid w:val="009C4901"/>
    <w:rsid w:val="009C4D83"/>
    <w:rsid w:val="009D1642"/>
    <w:rsid w:val="009D3192"/>
    <w:rsid w:val="009D3220"/>
    <w:rsid w:val="009D5870"/>
    <w:rsid w:val="009D6182"/>
    <w:rsid w:val="009E0F28"/>
    <w:rsid w:val="009E1266"/>
    <w:rsid w:val="009E5424"/>
    <w:rsid w:val="009E5EF8"/>
    <w:rsid w:val="009E60EF"/>
    <w:rsid w:val="009F3ABD"/>
    <w:rsid w:val="009F5C65"/>
    <w:rsid w:val="009F70E6"/>
    <w:rsid w:val="00A15FF4"/>
    <w:rsid w:val="00A16700"/>
    <w:rsid w:val="00A168E4"/>
    <w:rsid w:val="00A1712D"/>
    <w:rsid w:val="00A24869"/>
    <w:rsid w:val="00A306EE"/>
    <w:rsid w:val="00A308DF"/>
    <w:rsid w:val="00A401F6"/>
    <w:rsid w:val="00A43BE3"/>
    <w:rsid w:val="00A4414A"/>
    <w:rsid w:val="00A51851"/>
    <w:rsid w:val="00A563F4"/>
    <w:rsid w:val="00A567FD"/>
    <w:rsid w:val="00A56FF8"/>
    <w:rsid w:val="00A62388"/>
    <w:rsid w:val="00A62565"/>
    <w:rsid w:val="00A65FB0"/>
    <w:rsid w:val="00A7033C"/>
    <w:rsid w:val="00A7288D"/>
    <w:rsid w:val="00A77FCE"/>
    <w:rsid w:val="00A8104C"/>
    <w:rsid w:val="00A852BC"/>
    <w:rsid w:val="00A92B57"/>
    <w:rsid w:val="00A949A8"/>
    <w:rsid w:val="00A960D0"/>
    <w:rsid w:val="00AA0315"/>
    <w:rsid w:val="00AA1BD0"/>
    <w:rsid w:val="00AA2E67"/>
    <w:rsid w:val="00AA5B19"/>
    <w:rsid w:val="00AB3E3F"/>
    <w:rsid w:val="00AB5AEE"/>
    <w:rsid w:val="00AB5D23"/>
    <w:rsid w:val="00AB6D8E"/>
    <w:rsid w:val="00AC0491"/>
    <w:rsid w:val="00AC351C"/>
    <w:rsid w:val="00AC6790"/>
    <w:rsid w:val="00AD10B9"/>
    <w:rsid w:val="00AD12CF"/>
    <w:rsid w:val="00AD3E47"/>
    <w:rsid w:val="00AD4C85"/>
    <w:rsid w:val="00AD7138"/>
    <w:rsid w:val="00AE0268"/>
    <w:rsid w:val="00AE260F"/>
    <w:rsid w:val="00AE3043"/>
    <w:rsid w:val="00AE50CE"/>
    <w:rsid w:val="00AE5B7F"/>
    <w:rsid w:val="00AF24D3"/>
    <w:rsid w:val="00AF28BA"/>
    <w:rsid w:val="00AF429F"/>
    <w:rsid w:val="00AF516E"/>
    <w:rsid w:val="00AF78DE"/>
    <w:rsid w:val="00B028C9"/>
    <w:rsid w:val="00B05206"/>
    <w:rsid w:val="00B12519"/>
    <w:rsid w:val="00B131BA"/>
    <w:rsid w:val="00B15EFE"/>
    <w:rsid w:val="00B17254"/>
    <w:rsid w:val="00B209BE"/>
    <w:rsid w:val="00B22010"/>
    <w:rsid w:val="00B22E26"/>
    <w:rsid w:val="00B243FB"/>
    <w:rsid w:val="00B24602"/>
    <w:rsid w:val="00B307F2"/>
    <w:rsid w:val="00B377C4"/>
    <w:rsid w:val="00B46F24"/>
    <w:rsid w:val="00B47634"/>
    <w:rsid w:val="00B5071B"/>
    <w:rsid w:val="00B5170E"/>
    <w:rsid w:val="00B556EC"/>
    <w:rsid w:val="00B60928"/>
    <w:rsid w:val="00B622F2"/>
    <w:rsid w:val="00B631AE"/>
    <w:rsid w:val="00B66238"/>
    <w:rsid w:val="00B67F34"/>
    <w:rsid w:val="00B71BA0"/>
    <w:rsid w:val="00B72696"/>
    <w:rsid w:val="00B74083"/>
    <w:rsid w:val="00B80BDB"/>
    <w:rsid w:val="00B91478"/>
    <w:rsid w:val="00B93109"/>
    <w:rsid w:val="00B94494"/>
    <w:rsid w:val="00B955E4"/>
    <w:rsid w:val="00B9614C"/>
    <w:rsid w:val="00B96B5E"/>
    <w:rsid w:val="00BA08B8"/>
    <w:rsid w:val="00BA15F2"/>
    <w:rsid w:val="00BA46EC"/>
    <w:rsid w:val="00BA7417"/>
    <w:rsid w:val="00BA7FA1"/>
    <w:rsid w:val="00BB1A77"/>
    <w:rsid w:val="00BB252F"/>
    <w:rsid w:val="00BB6F85"/>
    <w:rsid w:val="00BB71EE"/>
    <w:rsid w:val="00BB7906"/>
    <w:rsid w:val="00BC019D"/>
    <w:rsid w:val="00BC1331"/>
    <w:rsid w:val="00BC3A66"/>
    <w:rsid w:val="00BC4AD6"/>
    <w:rsid w:val="00BC5B2F"/>
    <w:rsid w:val="00BC74C5"/>
    <w:rsid w:val="00BD2AFE"/>
    <w:rsid w:val="00BD50C4"/>
    <w:rsid w:val="00BE2474"/>
    <w:rsid w:val="00BE5161"/>
    <w:rsid w:val="00BE7C17"/>
    <w:rsid w:val="00BF36A8"/>
    <w:rsid w:val="00BF5410"/>
    <w:rsid w:val="00BF73A9"/>
    <w:rsid w:val="00C0110A"/>
    <w:rsid w:val="00C05F11"/>
    <w:rsid w:val="00C05FF0"/>
    <w:rsid w:val="00C16DD7"/>
    <w:rsid w:val="00C16EAA"/>
    <w:rsid w:val="00C21093"/>
    <w:rsid w:val="00C22076"/>
    <w:rsid w:val="00C24CD6"/>
    <w:rsid w:val="00C3032E"/>
    <w:rsid w:val="00C305A8"/>
    <w:rsid w:val="00C328BE"/>
    <w:rsid w:val="00C406EC"/>
    <w:rsid w:val="00C4084F"/>
    <w:rsid w:val="00C40DCE"/>
    <w:rsid w:val="00C430A7"/>
    <w:rsid w:val="00C43831"/>
    <w:rsid w:val="00C43F9C"/>
    <w:rsid w:val="00C45828"/>
    <w:rsid w:val="00C4696E"/>
    <w:rsid w:val="00C5721E"/>
    <w:rsid w:val="00C64F47"/>
    <w:rsid w:val="00C7253B"/>
    <w:rsid w:val="00C7354C"/>
    <w:rsid w:val="00C76BA2"/>
    <w:rsid w:val="00C8331C"/>
    <w:rsid w:val="00C84F96"/>
    <w:rsid w:val="00C86A4B"/>
    <w:rsid w:val="00C86F84"/>
    <w:rsid w:val="00C918AF"/>
    <w:rsid w:val="00C927A5"/>
    <w:rsid w:val="00C9349D"/>
    <w:rsid w:val="00C94A12"/>
    <w:rsid w:val="00C96B47"/>
    <w:rsid w:val="00C97D54"/>
    <w:rsid w:val="00CA1B5D"/>
    <w:rsid w:val="00CA2245"/>
    <w:rsid w:val="00CA4B36"/>
    <w:rsid w:val="00CA7A96"/>
    <w:rsid w:val="00CB7157"/>
    <w:rsid w:val="00CC1F59"/>
    <w:rsid w:val="00CC44D3"/>
    <w:rsid w:val="00CC7AAB"/>
    <w:rsid w:val="00CD0212"/>
    <w:rsid w:val="00CD54D3"/>
    <w:rsid w:val="00CD5688"/>
    <w:rsid w:val="00CE2549"/>
    <w:rsid w:val="00CE2980"/>
    <w:rsid w:val="00CE4114"/>
    <w:rsid w:val="00CE4479"/>
    <w:rsid w:val="00CE5C66"/>
    <w:rsid w:val="00CF19B7"/>
    <w:rsid w:val="00CF3F80"/>
    <w:rsid w:val="00CF72F8"/>
    <w:rsid w:val="00D04198"/>
    <w:rsid w:val="00D06E91"/>
    <w:rsid w:val="00D070DA"/>
    <w:rsid w:val="00D15FD7"/>
    <w:rsid w:val="00D25CAD"/>
    <w:rsid w:val="00D26B1F"/>
    <w:rsid w:val="00D376ED"/>
    <w:rsid w:val="00D463C8"/>
    <w:rsid w:val="00D50616"/>
    <w:rsid w:val="00D54390"/>
    <w:rsid w:val="00D61BFC"/>
    <w:rsid w:val="00D643D4"/>
    <w:rsid w:val="00D67170"/>
    <w:rsid w:val="00D72474"/>
    <w:rsid w:val="00D72E33"/>
    <w:rsid w:val="00D76EA4"/>
    <w:rsid w:val="00D8176A"/>
    <w:rsid w:val="00D85C38"/>
    <w:rsid w:val="00D90661"/>
    <w:rsid w:val="00D94392"/>
    <w:rsid w:val="00DA071E"/>
    <w:rsid w:val="00DA57FD"/>
    <w:rsid w:val="00DA5E47"/>
    <w:rsid w:val="00DA6AE2"/>
    <w:rsid w:val="00DA79D1"/>
    <w:rsid w:val="00DB408E"/>
    <w:rsid w:val="00DB7114"/>
    <w:rsid w:val="00DB76F6"/>
    <w:rsid w:val="00DC1148"/>
    <w:rsid w:val="00DC3644"/>
    <w:rsid w:val="00DC4FF0"/>
    <w:rsid w:val="00DD274F"/>
    <w:rsid w:val="00DD4D7E"/>
    <w:rsid w:val="00DD5970"/>
    <w:rsid w:val="00DD608C"/>
    <w:rsid w:val="00DE07DE"/>
    <w:rsid w:val="00DE228F"/>
    <w:rsid w:val="00DE2A63"/>
    <w:rsid w:val="00DE3209"/>
    <w:rsid w:val="00DE67A9"/>
    <w:rsid w:val="00DF246E"/>
    <w:rsid w:val="00DF25B9"/>
    <w:rsid w:val="00DF3624"/>
    <w:rsid w:val="00DF4087"/>
    <w:rsid w:val="00E033A1"/>
    <w:rsid w:val="00E03F44"/>
    <w:rsid w:val="00E14912"/>
    <w:rsid w:val="00E15681"/>
    <w:rsid w:val="00E17581"/>
    <w:rsid w:val="00E20009"/>
    <w:rsid w:val="00E235E7"/>
    <w:rsid w:val="00E247E7"/>
    <w:rsid w:val="00E249E4"/>
    <w:rsid w:val="00E26A84"/>
    <w:rsid w:val="00E272DF"/>
    <w:rsid w:val="00E27CFB"/>
    <w:rsid w:val="00E3629A"/>
    <w:rsid w:val="00E441E8"/>
    <w:rsid w:val="00E45540"/>
    <w:rsid w:val="00E464D9"/>
    <w:rsid w:val="00E52E54"/>
    <w:rsid w:val="00E53385"/>
    <w:rsid w:val="00E55527"/>
    <w:rsid w:val="00E761C6"/>
    <w:rsid w:val="00E76FA8"/>
    <w:rsid w:val="00E77397"/>
    <w:rsid w:val="00E818DD"/>
    <w:rsid w:val="00E81963"/>
    <w:rsid w:val="00E82DCF"/>
    <w:rsid w:val="00E8311E"/>
    <w:rsid w:val="00E83D9A"/>
    <w:rsid w:val="00E8582B"/>
    <w:rsid w:val="00E87AF9"/>
    <w:rsid w:val="00E92B11"/>
    <w:rsid w:val="00E92CE2"/>
    <w:rsid w:val="00E934E3"/>
    <w:rsid w:val="00EA09E3"/>
    <w:rsid w:val="00EA591D"/>
    <w:rsid w:val="00EA6902"/>
    <w:rsid w:val="00EA6CE0"/>
    <w:rsid w:val="00EA77C5"/>
    <w:rsid w:val="00EB0416"/>
    <w:rsid w:val="00EC23EC"/>
    <w:rsid w:val="00EC2454"/>
    <w:rsid w:val="00EC504B"/>
    <w:rsid w:val="00EC53E8"/>
    <w:rsid w:val="00ED6A4A"/>
    <w:rsid w:val="00EE3ED9"/>
    <w:rsid w:val="00EE3F08"/>
    <w:rsid w:val="00EF5329"/>
    <w:rsid w:val="00F02793"/>
    <w:rsid w:val="00F044DD"/>
    <w:rsid w:val="00F05B9C"/>
    <w:rsid w:val="00F06CBC"/>
    <w:rsid w:val="00F07FCA"/>
    <w:rsid w:val="00F116B5"/>
    <w:rsid w:val="00F11757"/>
    <w:rsid w:val="00F1193E"/>
    <w:rsid w:val="00F13C96"/>
    <w:rsid w:val="00F140C9"/>
    <w:rsid w:val="00F1450C"/>
    <w:rsid w:val="00F16951"/>
    <w:rsid w:val="00F2678C"/>
    <w:rsid w:val="00F350DF"/>
    <w:rsid w:val="00F363CE"/>
    <w:rsid w:val="00F40F8E"/>
    <w:rsid w:val="00F4166D"/>
    <w:rsid w:val="00F419F2"/>
    <w:rsid w:val="00F4221A"/>
    <w:rsid w:val="00F42807"/>
    <w:rsid w:val="00F47A70"/>
    <w:rsid w:val="00F5229D"/>
    <w:rsid w:val="00F52914"/>
    <w:rsid w:val="00F53705"/>
    <w:rsid w:val="00F54E21"/>
    <w:rsid w:val="00F57FA0"/>
    <w:rsid w:val="00F60CA6"/>
    <w:rsid w:val="00F60DE1"/>
    <w:rsid w:val="00F623DE"/>
    <w:rsid w:val="00F654F2"/>
    <w:rsid w:val="00F7621E"/>
    <w:rsid w:val="00F764B4"/>
    <w:rsid w:val="00F76E8A"/>
    <w:rsid w:val="00F77FBE"/>
    <w:rsid w:val="00F8065D"/>
    <w:rsid w:val="00F84616"/>
    <w:rsid w:val="00F85783"/>
    <w:rsid w:val="00F879E4"/>
    <w:rsid w:val="00F91974"/>
    <w:rsid w:val="00F931DB"/>
    <w:rsid w:val="00F95C07"/>
    <w:rsid w:val="00FA53C5"/>
    <w:rsid w:val="00FB02B1"/>
    <w:rsid w:val="00FB347A"/>
    <w:rsid w:val="00FB7D71"/>
    <w:rsid w:val="00FC3455"/>
    <w:rsid w:val="00FC39AC"/>
    <w:rsid w:val="00FC48F9"/>
    <w:rsid w:val="00FC7435"/>
    <w:rsid w:val="00FC7D29"/>
    <w:rsid w:val="00FD0F18"/>
    <w:rsid w:val="00FD316D"/>
    <w:rsid w:val="00FD344C"/>
    <w:rsid w:val="00FD3805"/>
    <w:rsid w:val="00FD698E"/>
    <w:rsid w:val="00FD7702"/>
    <w:rsid w:val="00FF2887"/>
    <w:rsid w:val="00FF439D"/>
    <w:rsid w:val="00FF4B85"/>
    <w:rsid w:val="00FF683D"/>
    <w:rsid w:val="00FF6C72"/>
    <w:rsid w:val="00FF7C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470"/>
    <w:pPr>
      <w:spacing w:line="260" w:lineRule="atLeast"/>
      <w:jc w:val="both"/>
    </w:pPr>
    <w:rPr>
      <w:rFonts w:ascii="Palatino Linotype" w:hAnsi="Palatino Linotype"/>
      <w:noProof/>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next w:val="a"/>
    <w:qFormat/>
    <w:rsid w:val="00EA6902"/>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a"/>
    <w:qFormat/>
    <w:rsid w:val="00EA6902"/>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a"/>
    <w:qFormat/>
    <w:rsid w:val="00EA6902"/>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a"/>
    <w:next w:val="a"/>
    <w:qFormat/>
    <w:rsid w:val="00EA6902"/>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EA6902"/>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a"/>
    <w:qFormat/>
    <w:rsid w:val="00EA6902"/>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a"/>
    <w:qFormat/>
    <w:rsid w:val="00EA6902"/>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EA6902"/>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a3">
    <w:name w:val="footer"/>
    <w:basedOn w:val="a"/>
    <w:link w:val="Char"/>
    <w:uiPriority w:val="99"/>
    <w:rsid w:val="00EA6902"/>
    <w:pPr>
      <w:tabs>
        <w:tab w:val="center" w:pos="4153"/>
        <w:tab w:val="right" w:pos="8306"/>
      </w:tabs>
      <w:snapToGrid w:val="0"/>
      <w:spacing w:line="240" w:lineRule="atLeast"/>
    </w:pPr>
    <w:rPr>
      <w:szCs w:val="18"/>
    </w:rPr>
  </w:style>
  <w:style w:type="character" w:customStyle="1" w:styleId="Char">
    <w:name w:val="바닥글 Char"/>
    <w:link w:val="a3"/>
    <w:uiPriority w:val="99"/>
    <w:rsid w:val="00EA6902"/>
    <w:rPr>
      <w:rFonts w:ascii="Palatino Linotype" w:hAnsi="Palatino Linotype"/>
      <w:noProof/>
      <w:color w:val="000000"/>
      <w:szCs w:val="18"/>
    </w:rPr>
  </w:style>
  <w:style w:type="paragraph" w:styleId="a4">
    <w:name w:val="header"/>
    <w:basedOn w:val="a"/>
    <w:link w:val="Char0"/>
    <w:uiPriority w:val="99"/>
    <w:rsid w:val="00EA6902"/>
    <w:pPr>
      <w:pBdr>
        <w:bottom w:val="single" w:sz="6" w:space="1" w:color="auto"/>
      </w:pBdr>
      <w:tabs>
        <w:tab w:val="center" w:pos="4153"/>
        <w:tab w:val="right" w:pos="8306"/>
      </w:tabs>
      <w:snapToGrid w:val="0"/>
      <w:spacing w:line="240" w:lineRule="atLeast"/>
      <w:jc w:val="center"/>
    </w:pPr>
    <w:rPr>
      <w:szCs w:val="18"/>
    </w:rPr>
  </w:style>
  <w:style w:type="character" w:customStyle="1" w:styleId="Char0">
    <w:name w:val="머리글 Char"/>
    <w:link w:val="a4"/>
    <w:uiPriority w:val="99"/>
    <w:rsid w:val="00EA6902"/>
    <w:rPr>
      <w:rFonts w:ascii="Palatino Linotype" w:hAnsi="Palatino Linotype"/>
      <w:noProof/>
      <w:color w:val="000000"/>
      <w:szCs w:val="18"/>
    </w:rPr>
  </w:style>
  <w:style w:type="paragraph" w:customStyle="1" w:styleId="MDPIheaderjournallogo">
    <w:name w:val="MDPI_header_journal_logo"/>
    <w:qFormat/>
    <w:rsid w:val="00EA6902"/>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EA6902"/>
    <w:pPr>
      <w:ind w:firstLine="0"/>
    </w:pPr>
  </w:style>
  <w:style w:type="paragraph" w:customStyle="1" w:styleId="MDPI31text">
    <w:name w:val="MDPI_3.1_text"/>
    <w:qFormat/>
    <w:rsid w:val="00E53385"/>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EA6902"/>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EA6902"/>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EA6902"/>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EA6902"/>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332CC"/>
    <w:pPr>
      <w:numPr>
        <w:numId w:val="25"/>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5332CC"/>
    <w:pPr>
      <w:numPr>
        <w:numId w:val="2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EA6902"/>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EA6902"/>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EA6902"/>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B72696"/>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EA6902"/>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EA6902"/>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EA6902"/>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EA6902"/>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EA6902"/>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EA6902"/>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EA6902"/>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EA6902"/>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EA6902"/>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51540B"/>
    <w:pPr>
      <w:numPr>
        <w:numId w:val="26"/>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a5">
    <w:name w:val="Balloon Text"/>
    <w:basedOn w:val="a"/>
    <w:link w:val="Char1"/>
    <w:uiPriority w:val="99"/>
    <w:rsid w:val="00EA6902"/>
    <w:rPr>
      <w:rFonts w:cs="Tahoma"/>
      <w:szCs w:val="18"/>
    </w:rPr>
  </w:style>
  <w:style w:type="character" w:customStyle="1" w:styleId="Char1">
    <w:name w:val="풍선 도움말 텍스트 Char"/>
    <w:link w:val="a5"/>
    <w:uiPriority w:val="99"/>
    <w:rsid w:val="00EA6902"/>
    <w:rPr>
      <w:rFonts w:ascii="Palatino Linotype" w:hAnsi="Palatino Linotype" w:cs="Tahoma"/>
      <w:noProof/>
      <w:color w:val="000000"/>
      <w:szCs w:val="18"/>
    </w:rPr>
  </w:style>
  <w:style w:type="character" w:styleId="a6">
    <w:name w:val="line number"/>
    <w:uiPriority w:val="99"/>
    <w:rsid w:val="009B551E"/>
    <w:rPr>
      <w:rFonts w:ascii="Palatino Linotype" w:hAnsi="Palatino Linotype"/>
      <w:sz w:val="16"/>
    </w:rPr>
  </w:style>
  <w:style w:type="table" w:customStyle="1" w:styleId="MDPI41threelinetable">
    <w:name w:val="MDPI_4.1_three_line_table"/>
    <w:basedOn w:val="a1"/>
    <w:uiPriority w:val="99"/>
    <w:rsid w:val="00EA6902"/>
    <w:pPr>
      <w:adjustRightInd w:val="0"/>
      <w:snapToGrid w:val="0"/>
      <w:jc w:val="center"/>
    </w:pPr>
    <w:rPr>
      <w:rFonts w:ascii="Palatino Linotype" w:hAnsi="Palatino Linotype"/>
      <w:color w:val="000000"/>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a7">
    <w:name w:val="Hyperlink"/>
    <w:uiPriority w:val="99"/>
    <w:rsid w:val="00EA6902"/>
    <w:rPr>
      <w:color w:val="0000FF"/>
      <w:u w:val="single"/>
    </w:rPr>
  </w:style>
  <w:style w:type="character" w:customStyle="1" w:styleId="1">
    <w:name w:val="확인되지 않은 멘션1"/>
    <w:uiPriority w:val="99"/>
    <w:semiHidden/>
    <w:unhideWhenUsed/>
    <w:rsid w:val="00A65FB0"/>
    <w:rPr>
      <w:color w:val="605E5C"/>
      <w:shd w:val="clear" w:color="auto" w:fill="E1DFDD"/>
    </w:rPr>
  </w:style>
  <w:style w:type="table" w:styleId="a8">
    <w:name w:val="Table Grid"/>
    <w:basedOn w:val="a1"/>
    <w:uiPriority w:val="59"/>
    <w:rsid w:val="00EA6902"/>
    <w:pPr>
      <w:spacing w:line="260" w:lineRule="atLeast"/>
      <w:jc w:val="both"/>
    </w:pPr>
    <w:rPr>
      <w:rFonts w:ascii="Palatino Linotype" w:hAnsi="Palatino Linotype"/>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a1"/>
    <w:uiPriority w:val="44"/>
    <w:rsid w:val="00506B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EA6902"/>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EA6902"/>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EA6902"/>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C86F84"/>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EA6902"/>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EA6902"/>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EA6902"/>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EA6902"/>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EA6902"/>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EA6902"/>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EA6902"/>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EA6902"/>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EA6902"/>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EA6902"/>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a1"/>
    <w:uiPriority w:val="99"/>
    <w:rsid w:val="00EA6902"/>
    <w:rPr>
      <w:rFonts w:ascii="Palatino Linotype" w:hAnsi="Palatino Linotype"/>
      <w:color w:val="000000"/>
      <w:lang w:val="en-CA" w:eastAsia="en-US"/>
    </w:rPr>
    <w:tblPr>
      <w:tblInd w:w="0" w:type="dxa"/>
      <w:tblCellMar>
        <w:top w:w="0" w:type="dxa"/>
        <w:left w:w="0" w:type="dxa"/>
        <w:bottom w:w="0" w:type="dxa"/>
        <w:right w:w="0" w:type="dxa"/>
      </w:tblCellMar>
    </w:tblPr>
  </w:style>
  <w:style w:type="paragraph" w:customStyle="1" w:styleId="MDPItext">
    <w:name w:val="MDPI_text"/>
    <w:qFormat/>
    <w:rsid w:val="00EA6902"/>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EA6902"/>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EA6902"/>
  </w:style>
  <w:style w:type="paragraph" w:styleId="a9">
    <w:name w:val="Bibliography"/>
    <w:basedOn w:val="a"/>
    <w:next w:val="a"/>
    <w:uiPriority w:val="37"/>
    <w:semiHidden/>
    <w:unhideWhenUsed/>
    <w:rsid w:val="00EA6902"/>
  </w:style>
  <w:style w:type="paragraph" w:styleId="aa">
    <w:name w:val="Body Text"/>
    <w:link w:val="Char2"/>
    <w:rsid w:val="00EA6902"/>
    <w:pPr>
      <w:spacing w:after="120" w:line="340" w:lineRule="atLeast"/>
      <w:jc w:val="both"/>
    </w:pPr>
    <w:rPr>
      <w:rFonts w:ascii="Palatino Linotype" w:hAnsi="Palatino Linotype"/>
      <w:color w:val="000000"/>
      <w:sz w:val="24"/>
      <w:lang w:eastAsia="de-DE"/>
    </w:rPr>
  </w:style>
  <w:style w:type="character" w:customStyle="1" w:styleId="Char2">
    <w:name w:val="본문 Char"/>
    <w:link w:val="aa"/>
    <w:rsid w:val="00EA6902"/>
    <w:rPr>
      <w:rFonts w:ascii="Palatino Linotype" w:hAnsi="Palatino Linotype"/>
      <w:color w:val="000000"/>
      <w:sz w:val="24"/>
      <w:lang w:eastAsia="de-DE"/>
    </w:rPr>
  </w:style>
  <w:style w:type="character" w:styleId="ab">
    <w:name w:val="annotation reference"/>
    <w:rsid w:val="00EA6902"/>
    <w:rPr>
      <w:sz w:val="21"/>
      <w:szCs w:val="21"/>
    </w:rPr>
  </w:style>
  <w:style w:type="paragraph" w:styleId="ac">
    <w:name w:val="annotation text"/>
    <w:basedOn w:val="a"/>
    <w:link w:val="Char3"/>
    <w:rsid w:val="00EA6902"/>
  </w:style>
  <w:style w:type="character" w:customStyle="1" w:styleId="Char3">
    <w:name w:val="메모 텍스트 Char"/>
    <w:link w:val="ac"/>
    <w:rsid w:val="00EA6902"/>
    <w:rPr>
      <w:rFonts w:ascii="Palatino Linotype" w:hAnsi="Palatino Linotype"/>
      <w:noProof/>
      <w:color w:val="000000"/>
    </w:rPr>
  </w:style>
  <w:style w:type="paragraph" w:styleId="ad">
    <w:name w:val="annotation subject"/>
    <w:basedOn w:val="ac"/>
    <w:next w:val="ac"/>
    <w:link w:val="Char4"/>
    <w:rsid w:val="00EA6902"/>
    <w:rPr>
      <w:b/>
      <w:bCs/>
    </w:rPr>
  </w:style>
  <w:style w:type="character" w:customStyle="1" w:styleId="Char4">
    <w:name w:val="메모 주제 Char"/>
    <w:link w:val="ad"/>
    <w:rsid w:val="00EA6902"/>
    <w:rPr>
      <w:rFonts w:ascii="Palatino Linotype" w:hAnsi="Palatino Linotype"/>
      <w:b/>
      <w:bCs/>
      <w:noProof/>
      <w:color w:val="000000"/>
    </w:rPr>
  </w:style>
  <w:style w:type="character" w:styleId="ae">
    <w:name w:val="endnote reference"/>
    <w:rsid w:val="00EA6902"/>
    <w:rPr>
      <w:vertAlign w:val="superscript"/>
    </w:rPr>
  </w:style>
  <w:style w:type="paragraph" w:styleId="af">
    <w:name w:val="endnote text"/>
    <w:basedOn w:val="a"/>
    <w:link w:val="Char5"/>
    <w:semiHidden/>
    <w:unhideWhenUsed/>
    <w:rsid w:val="00EA6902"/>
    <w:pPr>
      <w:spacing w:line="240" w:lineRule="auto"/>
    </w:pPr>
  </w:style>
  <w:style w:type="character" w:customStyle="1" w:styleId="Char5">
    <w:name w:val="미주 텍스트 Char"/>
    <w:link w:val="af"/>
    <w:semiHidden/>
    <w:rsid w:val="00EA6902"/>
    <w:rPr>
      <w:rFonts w:ascii="Palatino Linotype" w:hAnsi="Palatino Linotype"/>
      <w:noProof/>
      <w:color w:val="000000"/>
    </w:rPr>
  </w:style>
  <w:style w:type="character" w:styleId="af0">
    <w:name w:val="FollowedHyperlink"/>
    <w:rsid w:val="00EA6902"/>
    <w:rPr>
      <w:color w:val="954F72"/>
      <w:u w:val="single"/>
    </w:rPr>
  </w:style>
  <w:style w:type="paragraph" w:styleId="af1">
    <w:name w:val="footnote text"/>
    <w:basedOn w:val="a"/>
    <w:link w:val="Char6"/>
    <w:semiHidden/>
    <w:unhideWhenUsed/>
    <w:rsid w:val="00EA6902"/>
    <w:pPr>
      <w:spacing w:line="240" w:lineRule="auto"/>
    </w:pPr>
  </w:style>
  <w:style w:type="character" w:customStyle="1" w:styleId="Char6">
    <w:name w:val="각주 텍스트 Char"/>
    <w:link w:val="af1"/>
    <w:semiHidden/>
    <w:rsid w:val="00EA6902"/>
    <w:rPr>
      <w:rFonts w:ascii="Palatino Linotype" w:hAnsi="Palatino Linotype"/>
      <w:noProof/>
      <w:color w:val="000000"/>
    </w:rPr>
  </w:style>
  <w:style w:type="paragraph" w:styleId="af2">
    <w:name w:val="Normal (Web)"/>
    <w:basedOn w:val="a"/>
    <w:uiPriority w:val="99"/>
    <w:rsid w:val="00EA6902"/>
    <w:rPr>
      <w:szCs w:val="24"/>
    </w:rPr>
  </w:style>
  <w:style w:type="paragraph" w:customStyle="1" w:styleId="MsoFootnoteText0">
    <w:name w:val="MsoFootnoteText"/>
    <w:basedOn w:val="af2"/>
    <w:qFormat/>
    <w:rsid w:val="00EA6902"/>
    <w:rPr>
      <w:rFonts w:ascii="Times New Roman" w:hAnsi="Times New Roman"/>
    </w:rPr>
  </w:style>
  <w:style w:type="character" w:styleId="af3">
    <w:name w:val="page number"/>
    <w:rsid w:val="00EA6902"/>
  </w:style>
  <w:style w:type="character" w:styleId="af4">
    <w:name w:val="Placeholder Text"/>
    <w:uiPriority w:val="99"/>
    <w:semiHidden/>
    <w:rsid w:val="00EA6902"/>
    <w:rPr>
      <w:color w:val="808080"/>
    </w:rPr>
  </w:style>
  <w:style w:type="paragraph" w:customStyle="1" w:styleId="MDPI71FootNotes">
    <w:name w:val="MDPI_7.1_FootNotes"/>
    <w:qFormat/>
    <w:rsid w:val="00211F69"/>
    <w:pPr>
      <w:numPr>
        <w:numId w:val="24"/>
      </w:numPr>
      <w:adjustRightInd w:val="0"/>
      <w:snapToGrid w:val="0"/>
      <w:spacing w:line="228" w:lineRule="auto"/>
    </w:pPr>
    <w:rPr>
      <w:rFonts w:ascii="Palatino Linotype" w:eastAsiaTheme="minorEastAsia" w:hAnsi="Palatino Linotype"/>
      <w:noProof/>
      <w:color w:val="000000"/>
      <w:sz w:val="18"/>
    </w:rPr>
  </w:style>
  <w:style w:type="paragraph" w:styleId="af5">
    <w:name w:val="Revision"/>
    <w:hidden/>
    <w:uiPriority w:val="99"/>
    <w:semiHidden/>
    <w:rsid w:val="00E45540"/>
    <w:rPr>
      <w:rFonts w:ascii="Palatino Linotype" w:hAnsi="Palatino Linotype"/>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4902">
      <w:bodyDiv w:val="1"/>
      <w:marLeft w:val="0"/>
      <w:marRight w:val="0"/>
      <w:marTop w:val="0"/>
      <w:marBottom w:val="0"/>
      <w:divBdr>
        <w:top w:val="none" w:sz="0" w:space="0" w:color="auto"/>
        <w:left w:val="none" w:sz="0" w:space="0" w:color="auto"/>
        <w:bottom w:val="none" w:sz="0" w:space="0" w:color="auto"/>
        <w:right w:val="none" w:sz="0" w:space="0" w:color="auto"/>
      </w:divBdr>
    </w:div>
    <w:div w:id="239214307">
      <w:bodyDiv w:val="1"/>
      <w:marLeft w:val="0"/>
      <w:marRight w:val="0"/>
      <w:marTop w:val="0"/>
      <w:marBottom w:val="0"/>
      <w:divBdr>
        <w:top w:val="none" w:sz="0" w:space="0" w:color="auto"/>
        <w:left w:val="none" w:sz="0" w:space="0" w:color="auto"/>
        <w:bottom w:val="none" w:sz="0" w:space="0" w:color="auto"/>
        <w:right w:val="none" w:sz="0" w:space="0" w:color="auto"/>
      </w:divBdr>
    </w:div>
    <w:div w:id="251011055">
      <w:bodyDiv w:val="1"/>
      <w:marLeft w:val="0"/>
      <w:marRight w:val="0"/>
      <w:marTop w:val="0"/>
      <w:marBottom w:val="0"/>
      <w:divBdr>
        <w:top w:val="none" w:sz="0" w:space="0" w:color="auto"/>
        <w:left w:val="none" w:sz="0" w:space="0" w:color="auto"/>
        <w:bottom w:val="none" w:sz="0" w:space="0" w:color="auto"/>
        <w:right w:val="none" w:sz="0" w:space="0" w:color="auto"/>
      </w:divBdr>
    </w:div>
    <w:div w:id="348023011">
      <w:bodyDiv w:val="1"/>
      <w:marLeft w:val="0"/>
      <w:marRight w:val="0"/>
      <w:marTop w:val="0"/>
      <w:marBottom w:val="0"/>
      <w:divBdr>
        <w:top w:val="none" w:sz="0" w:space="0" w:color="auto"/>
        <w:left w:val="none" w:sz="0" w:space="0" w:color="auto"/>
        <w:bottom w:val="none" w:sz="0" w:space="0" w:color="auto"/>
        <w:right w:val="none" w:sz="0" w:space="0" w:color="auto"/>
      </w:divBdr>
    </w:div>
    <w:div w:id="421340776">
      <w:bodyDiv w:val="1"/>
      <w:marLeft w:val="0"/>
      <w:marRight w:val="0"/>
      <w:marTop w:val="0"/>
      <w:marBottom w:val="0"/>
      <w:divBdr>
        <w:top w:val="none" w:sz="0" w:space="0" w:color="auto"/>
        <w:left w:val="none" w:sz="0" w:space="0" w:color="auto"/>
        <w:bottom w:val="none" w:sz="0" w:space="0" w:color="auto"/>
        <w:right w:val="none" w:sz="0" w:space="0" w:color="auto"/>
      </w:divBdr>
    </w:div>
    <w:div w:id="563300815">
      <w:bodyDiv w:val="1"/>
      <w:marLeft w:val="0"/>
      <w:marRight w:val="0"/>
      <w:marTop w:val="0"/>
      <w:marBottom w:val="0"/>
      <w:divBdr>
        <w:top w:val="none" w:sz="0" w:space="0" w:color="auto"/>
        <w:left w:val="none" w:sz="0" w:space="0" w:color="auto"/>
        <w:bottom w:val="none" w:sz="0" w:space="0" w:color="auto"/>
        <w:right w:val="none" w:sz="0" w:space="0" w:color="auto"/>
      </w:divBdr>
    </w:div>
    <w:div w:id="1137843040">
      <w:bodyDiv w:val="1"/>
      <w:marLeft w:val="0"/>
      <w:marRight w:val="0"/>
      <w:marTop w:val="0"/>
      <w:marBottom w:val="0"/>
      <w:divBdr>
        <w:top w:val="none" w:sz="0" w:space="0" w:color="auto"/>
        <w:left w:val="none" w:sz="0" w:space="0" w:color="auto"/>
        <w:bottom w:val="none" w:sz="0" w:space="0" w:color="auto"/>
        <w:right w:val="none" w:sz="0" w:space="0" w:color="auto"/>
      </w:divBdr>
    </w:div>
    <w:div w:id="1281062236">
      <w:bodyDiv w:val="1"/>
      <w:marLeft w:val="0"/>
      <w:marRight w:val="0"/>
      <w:marTop w:val="0"/>
      <w:marBottom w:val="0"/>
      <w:divBdr>
        <w:top w:val="none" w:sz="0" w:space="0" w:color="auto"/>
        <w:left w:val="none" w:sz="0" w:space="0" w:color="auto"/>
        <w:bottom w:val="none" w:sz="0" w:space="0" w:color="auto"/>
        <w:right w:val="none" w:sz="0" w:space="0" w:color="auto"/>
      </w:divBdr>
    </w:div>
    <w:div w:id="1694844117">
      <w:bodyDiv w:val="1"/>
      <w:marLeft w:val="0"/>
      <w:marRight w:val="0"/>
      <w:marTop w:val="0"/>
      <w:marBottom w:val="0"/>
      <w:divBdr>
        <w:top w:val="none" w:sz="0" w:space="0" w:color="auto"/>
        <w:left w:val="none" w:sz="0" w:space="0" w:color="auto"/>
        <w:bottom w:val="none" w:sz="0" w:space="0" w:color="auto"/>
        <w:right w:val="none" w:sz="0" w:space="0" w:color="auto"/>
      </w:divBdr>
    </w:div>
    <w:div w:id="1722483157">
      <w:bodyDiv w:val="1"/>
      <w:marLeft w:val="0"/>
      <w:marRight w:val="0"/>
      <w:marTop w:val="0"/>
      <w:marBottom w:val="0"/>
      <w:divBdr>
        <w:top w:val="none" w:sz="0" w:space="0" w:color="auto"/>
        <w:left w:val="none" w:sz="0" w:space="0" w:color="auto"/>
        <w:bottom w:val="none" w:sz="0" w:space="0" w:color="auto"/>
        <w:right w:val="none" w:sz="0" w:space="0" w:color="auto"/>
      </w:divBdr>
    </w:div>
    <w:div w:id="1812627325">
      <w:bodyDiv w:val="1"/>
      <w:marLeft w:val="0"/>
      <w:marRight w:val="0"/>
      <w:marTop w:val="0"/>
      <w:marBottom w:val="0"/>
      <w:divBdr>
        <w:top w:val="none" w:sz="0" w:space="0" w:color="auto"/>
        <w:left w:val="none" w:sz="0" w:space="0" w:color="auto"/>
        <w:bottom w:val="none" w:sz="0" w:space="0" w:color="auto"/>
        <w:right w:val="none" w:sz="0" w:space="0" w:color="auto"/>
      </w:divBdr>
      <w:divsChild>
        <w:div w:id="1769345705">
          <w:marLeft w:val="0"/>
          <w:marRight w:val="0"/>
          <w:marTop w:val="0"/>
          <w:marBottom w:val="0"/>
          <w:divBdr>
            <w:top w:val="none" w:sz="0" w:space="0" w:color="auto"/>
            <w:left w:val="none" w:sz="0" w:space="0" w:color="auto"/>
            <w:bottom w:val="none" w:sz="0" w:space="0" w:color="auto"/>
            <w:right w:val="none" w:sz="0" w:space="0" w:color="auto"/>
          </w:divBdr>
          <w:divsChild>
            <w:div w:id="73328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29873">
      <w:bodyDiv w:val="1"/>
      <w:marLeft w:val="0"/>
      <w:marRight w:val="0"/>
      <w:marTop w:val="0"/>
      <w:marBottom w:val="0"/>
      <w:divBdr>
        <w:top w:val="none" w:sz="0" w:space="0" w:color="auto"/>
        <w:left w:val="none" w:sz="0" w:space="0" w:color="auto"/>
        <w:bottom w:val="none" w:sz="0" w:space="0" w:color="auto"/>
        <w:right w:val="none" w:sz="0" w:space="0" w:color="auto"/>
      </w:divBdr>
    </w:div>
    <w:div w:id="1873613048">
      <w:bodyDiv w:val="1"/>
      <w:marLeft w:val="0"/>
      <w:marRight w:val="0"/>
      <w:marTop w:val="0"/>
      <w:marBottom w:val="0"/>
      <w:divBdr>
        <w:top w:val="none" w:sz="0" w:space="0" w:color="auto"/>
        <w:left w:val="none" w:sz="0" w:space="0" w:color="auto"/>
        <w:bottom w:val="none" w:sz="0" w:space="0" w:color="auto"/>
        <w:right w:val="none" w:sz="0" w:space="0" w:color="auto"/>
      </w:divBdr>
    </w:div>
    <w:div w:id="1909655157">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thermofisher.com/TFS-Assets/LSG/manuals/100024235_AttuneNxT_HW_UG.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28"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 Id="rId27" Type="http://schemas.microsoft.com/office/2018/08/relationships/commentsExtensible" Target="commentsExtensi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C5F3E-1F16-49A0-97C4-8FA1F05AB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2303</Words>
  <Characters>13129</Characters>
  <Application>Microsoft Office Word</Application>
  <DocSecurity>0</DocSecurity>
  <Lines>109</Lines>
  <Paragraphs>30</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15402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2023-12-20T14:17:00Z</dcterms:created>
  <dcterms:modified xsi:type="dcterms:W3CDTF">2023-12-26T02:22:00Z</dcterms:modified>
</cp:coreProperties>
</file>