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BA5CA2" w14:textId="596E28B7" w:rsidR="00AB13E9" w:rsidRPr="00AB13E9" w:rsidRDefault="00CA707F" w:rsidP="00AB13E9">
      <w:pPr>
        <w:rPr>
          <w:rFonts w:cs="Garamond"/>
          <w:color w:val="000000"/>
        </w:rPr>
      </w:pPr>
      <w:r w:rsidRPr="00CA707F">
        <w:rPr>
          <w:noProof/>
        </w:rPr>
        <w:drawing>
          <wp:inline distT="0" distB="0" distL="0" distR="0" wp14:anchorId="1CA1F01A" wp14:editId="33BD6EC5">
            <wp:extent cx="5727700" cy="3407410"/>
            <wp:effectExtent l="0" t="0" r="0" b="0"/>
            <wp:docPr id="154609956" name="Picture 1" descr="A collage of graph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609956" name="Picture 1" descr="A collage of graph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2AF2" w:rsidRPr="00AC2AF2">
        <w:rPr>
          <w:noProof/>
        </w:rPr>
        <w:t xml:space="preserve"> </w:t>
      </w:r>
      <w:r w:rsidR="00AB13E9" w:rsidRPr="00AB13E9">
        <w:rPr>
          <w:rFonts w:cs="Garamond"/>
          <w:b/>
          <w:bCs/>
          <w:color w:val="000000"/>
        </w:rPr>
        <w:t>Figure S1. </w:t>
      </w:r>
      <w:r w:rsidR="00AB13E9" w:rsidRPr="00AB13E9">
        <w:rPr>
          <w:rFonts w:cs="Garamond"/>
          <w:color w:val="000000"/>
        </w:rPr>
        <w:t>Establishing optimal probe, primer and Taq polymerase concentrations with B47</w:t>
      </w:r>
      <w:r w:rsidR="00C74D04">
        <w:rPr>
          <w:rFonts w:cs="Garamond"/>
          <w:color w:val="000000"/>
        </w:rPr>
        <w:t xml:space="preserve"> and the </w:t>
      </w:r>
      <w:proofErr w:type="spellStart"/>
      <w:r w:rsidR="00C74D04">
        <w:rPr>
          <w:rFonts w:cs="Garamond"/>
          <w:color w:val="000000"/>
        </w:rPr>
        <w:t>CoV</w:t>
      </w:r>
      <w:proofErr w:type="spellEnd"/>
      <w:r w:rsidR="00C74D04">
        <w:rPr>
          <w:rFonts w:cs="Garamond"/>
          <w:color w:val="000000"/>
        </w:rPr>
        <w:t>-E assay</w:t>
      </w:r>
      <w:r w:rsidR="00AB13E9" w:rsidRPr="00AB13E9">
        <w:rPr>
          <w:rFonts w:cs="Garamond"/>
          <w:color w:val="000000"/>
        </w:rPr>
        <w:t xml:space="preserve">. </w:t>
      </w:r>
      <w:r w:rsidR="00AB13E9" w:rsidRPr="00AB13E9">
        <w:rPr>
          <w:rFonts w:cs="Garamond"/>
          <w:b/>
          <w:bCs/>
          <w:color w:val="000000"/>
        </w:rPr>
        <w:t>A.</w:t>
      </w:r>
      <w:r w:rsidR="00AB13E9" w:rsidRPr="00AB13E9">
        <w:rPr>
          <w:rFonts w:cs="Garamond"/>
          <w:color w:val="000000"/>
        </w:rPr>
        <w:t xml:space="preserve"> Amplification plots and Cq values recorded with a range of probe concentrations using protocol P1. </w:t>
      </w:r>
      <w:r w:rsidR="00AB13E9" w:rsidRPr="00AB13E9">
        <w:rPr>
          <w:rFonts w:cs="Garamond"/>
          <w:b/>
          <w:bCs/>
          <w:color w:val="000000"/>
        </w:rPr>
        <w:t>B.</w:t>
      </w:r>
      <w:r w:rsidR="00AB13E9" w:rsidRPr="00AB13E9">
        <w:rPr>
          <w:rFonts w:cs="Garamond"/>
          <w:color w:val="000000"/>
        </w:rPr>
        <w:t xml:space="preserve"> Amplification plots and Cq values recorded with a range of primer concentrations using protocol P1. </w:t>
      </w:r>
      <w:r w:rsidR="00AB13E9" w:rsidRPr="00AB13E9">
        <w:rPr>
          <w:rFonts w:cs="Garamond"/>
          <w:b/>
          <w:bCs/>
          <w:color w:val="000000"/>
        </w:rPr>
        <w:t xml:space="preserve">C. </w:t>
      </w:r>
      <w:r w:rsidR="00AB13E9" w:rsidRPr="00AB13E9">
        <w:rPr>
          <w:rFonts w:cs="Garamond"/>
          <w:color w:val="000000"/>
        </w:rPr>
        <w:t xml:space="preserve">Amplification plots and replicate Cq values recorded with 0.06 and 0.12U of </w:t>
      </w:r>
      <w:proofErr w:type="spellStart"/>
      <w:r w:rsidR="00AB13E9" w:rsidRPr="00AB13E9">
        <w:rPr>
          <w:rFonts w:cs="Garamond"/>
          <w:color w:val="000000"/>
        </w:rPr>
        <w:t>MyTaq</w:t>
      </w:r>
      <w:proofErr w:type="spellEnd"/>
      <w:r w:rsidR="00AB13E9" w:rsidRPr="00AB13E9">
        <w:rPr>
          <w:rFonts w:cs="Garamond"/>
          <w:color w:val="000000"/>
        </w:rPr>
        <w:t xml:space="preserve"> per 2.5µL reaction across the denaturation gradient protocol P2. </w:t>
      </w:r>
      <w:r w:rsidR="00AB13E9" w:rsidRPr="00AB13E9">
        <w:rPr>
          <w:rFonts w:cs="Garamond"/>
          <w:b/>
          <w:bCs/>
          <w:color w:val="000000"/>
        </w:rPr>
        <w:t xml:space="preserve">D. </w:t>
      </w:r>
      <w:r w:rsidR="00AB13E9" w:rsidRPr="00AB13E9">
        <w:rPr>
          <w:rFonts w:cs="Garamond"/>
          <w:color w:val="000000"/>
        </w:rPr>
        <w:t xml:space="preserve">Amplification plots and replicate Cq values recorded with 0.06 and 0.12U of </w:t>
      </w:r>
      <w:proofErr w:type="spellStart"/>
      <w:r w:rsidR="00AB13E9" w:rsidRPr="00AB13E9">
        <w:rPr>
          <w:rFonts w:cs="Garamond"/>
          <w:color w:val="000000"/>
        </w:rPr>
        <w:t>MyTaq</w:t>
      </w:r>
      <w:proofErr w:type="spellEnd"/>
      <w:r w:rsidR="00AB13E9" w:rsidRPr="00AB13E9">
        <w:rPr>
          <w:rFonts w:cs="Garamond"/>
          <w:color w:val="000000"/>
        </w:rPr>
        <w:t xml:space="preserve"> per 2.5µL reaction across the polymerisation gradient protocol P3.</w:t>
      </w:r>
    </w:p>
    <w:p w14:paraId="7BA86DD7" w14:textId="5E80A078" w:rsidR="00CA707F" w:rsidRDefault="00CA707F">
      <w:pPr>
        <w:rPr>
          <w:rFonts w:cs="Garamond"/>
          <w:color w:val="000000"/>
          <w:sz w:val="20"/>
          <w:szCs w:val="20"/>
        </w:rPr>
      </w:pPr>
    </w:p>
    <w:p w14:paraId="1A3F484A" w14:textId="1088F782" w:rsidR="00CA707F" w:rsidRDefault="00CA707F">
      <w:pPr>
        <w:rPr>
          <w:rFonts w:cs="Garamond"/>
          <w:color w:val="000000"/>
          <w:sz w:val="20"/>
          <w:szCs w:val="20"/>
        </w:rPr>
      </w:pPr>
      <w:r>
        <w:rPr>
          <w:rFonts w:cs="Garamond"/>
          <w:color w:val="000000"/>
          <w:sz w:val="20"/>
          <w:szCs w:val="20"/>
        </w:rPr>
        <w:br w:type="page"/>
      </w:r>
    </w:p>
    <w:p w14:paraId="0FC419F4" w14:textId="77777777" w:rsidR="00FF3FBB" w:rsidRDefault="00FF3FBB">
      <w:pPr>
        <w:rPr>
          <w:rFonts w:cs="Garamond"/>
          <w:color w:val="000000"/>
          <w:sz w:val="20"/>
          <w:szCs w:val="20"/>
        </w:rPr>
      </w:pPr>
    </w:p>
    <w:p w14:paraId="783F296E" w14:textId="77777777" w:rsidR="00D463BA" w:rsidRDefault="00D463BA">
      <w:pPr>
        <w:rPr>
          <w:noProof/>
        </w:rPr>
      </w:pPr>
    </w:p>
    <w:p w14:paraId="20BC6EF4" w14:textId="1ECDC29A" w:rsidR="00A7724A" w:rsidRDefault="00AB13E9">
      <w:pPr>
        <w:rPr>
          <w:noProof/>
        </w:rPr>
      </w:pPr>
      <w:r w:rsidRPr="00AB13E9">
        <w:rPr>
          <w:noProof/>
        </w:rPr>
        <w:drawing>
          <wp:inline distT="0" distB="0" distL="0" distR="0" wp14:anchorId="56AF465E" wp14:editId="5F6C15D0">
            <wp:extent cx="5727700" cy="3669030"/>
            <wp:effectExtent l="0" t="0" r="0" b="1270"/>
            <wp:docPr id="170966016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966016" name="Picture 1" descr="A screenshot of a computer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69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0A2C" w:rsidRPr="00340A2C">
        <w:rPr>
          <w:noProof/>
        </w:rPr>
        <w:t xml:space="preserve"> </w:t>
      </w:r>
    </w:p>
    <w:p w14:paraId="7C4DA6C6" w14:textId="16EF96F6" w:rsidR="00D463BA" w:rsidRPr="00D463BA" w:rsidRDefault="00D463BA" w:rsidP="00D463BA">
      <w:pPr>
        <w:rPr>
          <w:noProof/>
          <w:sz w:val="20"/>
          <w:szCs w:val="20"/>
        </w:rPr>
      </w:pPr>
      <w:r w:rsidRPr="00D463BA">
        <w:rPr>
          <w:b/>
          <w:bCs/>
          <w:noProof/>
          <w:sz w:val="20"/>
          <w:szCs w:val="20"/>
        </w:rPr>
        <w:t>Figure S2. </w:t>
      </w:r>
      <w:r w:rsidR="00AB13E9" w:rsidRPr="008334F9">
        <w:rPr>
          <w:bCs/>
        </w:rPr>
        <w:t xml:space="preserve">Amplification of SARS-CoV-2 cDNA with assay </w:t>
      </w:r>
      <w:proofErr w:type="spellStart"/>
      <w:r w:rsidR="00AB13E9" w:rsidRPr="008334F9">
        <w:rPr>
          <w:bCs/>
        </w:rPr>
        <w:t>CoV</w:t>
      </w:r>
      <w:proofErr w:type="spellEnd"/>
      <w:r w:rsidR="00AB13E9" w:rsidRPr="008334F9">
        <w:rPr>
          <w:bCs/>
        </w:rPr>
        <w:t xml:space="preserve">-E, B47 and </w:t>
      </w:r>
      <w:proofErr w:type="spellStart"/>
      <w:r w:rsidR="00AB13E9" w:rsidRPr="008334F9">
        <w:rPr>
          <w:bCs/>
        </w:rPr>
        <w:t>MyTaq</w:t>
      </w:r>
      <w:proofErr w:type="spellEnd"/>
      <w:r w:rsidR="00AB13E9" w:rsidRPr="008334F9">
        <w:rPr>
          <w:bCs/>
        </w:rPr>
        <w:t xml:space="preserve"> run on BioRad CFX Connect or BMS Mic qPCR instruments.  </w:t>
      </w:r>
      <w:r w:rsidR="00AB13E9" w:rsidRPr="00AB13E9">
        <w:rPr>
          <w:b/>
        </w:rPr>
        <w:t>A.</w:t>
      </w:r>
      <w:r w:rsidR="00AB13E9" w:rsidRPr="008334F9">
        <w:rPr>
          <w:bCs/>
        </w:rPr>
        <w:t xml:space="preserve"> ∆Cq values (±95% CI) recorded at the indicated cycling temperatures versus protocol P1 for the combined runs on the BioRad instrument. </w:t>
      </w:r>
      <w:r w:rsidR="00A46D5C">
        <w:rPr>
          <w:bCs/>
        </w:rPr>
        <w:t xml:space="preserve">Cq values are listed in the supplementary data file. </w:t>
      </w:r>
      <w:r w:rsidR="00AB13E9" w:rsidRPr="00AB13E9">
        <w:rPr>
          <w:b/>
        </w:rPr>
        <w:t>B.</w:t>
      </w:r>
      <w:r w:rsidR="00AB13E9" w:rsidRPr="008334F9">
        <w:rPr>
          <w:bCs/>
        </w:rPr>
        <w:t xml:space="preserve"> Amplification plots and Cq values for standard (P8) and fast protocols (P9) on the BMS Mic. </w:t>
      </w:r>
      <w:r w:rsidR="00AB13E9" w:rsidRPr="00AB13E9">
        <w:rPr>
          <w:b/>
        </w:rPr>
        <w:t>C.</w:t>
      </w:r>
      <w:r w:rsidR="00AB13E9" w:rsidRPr="008334F9">
        <w:rPr>
          <w:bCs/>
        </w:rPr>
        <w:t xml:space="preserve"> ∆Cq values (±95%</w:t>
      </w:r>
      <w:r w:rsidR="00A46D5C">
        <w:rPr>
          <w:bCs/>
        </w:rPr>
        <w:t xml:space="preserve"> CI</w:t>
      </w:r>
      <w:r w:rsidR="00AB13E9" w:rsidRPr="008334F9">
        <w:rPr>
          <w:bCs/>
        </w:rPr>
        <w:t>) recorded for P9 compared to P8.</w:t>
      </w:r>
    </w:p>
    <w:p w14:paraId="09896BBA" w14:textId="77777777" w:rsidR="00D463BA" w:rsidRDefault="00D463BA">
      <w:pPr>
        <w:rPr>
          <w:noProof/>
        </w:rPr>
      </w:pPr>
    </w:p>
    <w:p w14:paraId="00CC9803" w14:textId="1ADD0A19" w:rsidR="00A7724A" w:rsidRDefault="00A7724A">
      <w:pPr>
        <w:rPr>
          <w:noProof/>
        </w:rPr>
      </w:pPr>
      <w:r>
        <w:rPr>
          <w:noProof/>
        </w:rPr>
        <w:br w:type="page"/>
      </w:r>
      <w:r w:rsidR="00676E96" w:rsidRPr="00676E96">
        <w:rPr>
          <w:noProof/>
        </w:rPr>
        <w:lastRenderedPageBreak/>
        <w:drawing>
          <wp:inline distT="0" distB="0" distL="0" distR="0" wp14:anchorId="2CD91276" wp14:editId="1C9C121D">
            <wp:extent cx="5727700" cy="3904615"/>
            <wp:effectExtent l="0" t="0" r="0" b="0"/>
            <wp:docPr id="64024820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024820" name="Picture 1" descr="A screenshot of a graph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904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BC944" w14:textId="74FB4C40" w:rsidR="00451EA9" w:rsidRDefault="00233FC1">
      <w:pPr>
        <w:rPr>
          <w:noProof/>
        </w:rPr>
      </w:pPr>
      <w:r w:rsidRPr="00233FC1">
        <w:rPr>
          <w:b/>
          <w:bCs/>
          <w:noProof/>
          <w:sz w:val="20"/>
          <w:szCs w:val="20"/>
        </w:rPr>
        <w:t>Figure S3.</w:t>
      </w:r>
      <w:r w:rsidRPr="00233FC1">
        <w:rPr>
          <w:noProof/>
          <w:sz w:val="20"/>
          <w:szCs w:val="20"/>
        </w:rPr>
        <w:t xml:space="preserve">  Amplification of SARS-CoV-2 PCR amplicons with DNA primers, Pentabase primers (PB), Probe G and B47. </w:t>
      </w:r>
      <w:r w:rsidRPr="00233FC1">
        <w:rPr>
          <w:b/>
          <w:bCs/>
          <w:noProof/>
          <w:sz w:val="20"/>
          <w:szCs w:val="20"/>
        </w:rPr>
        <w:t>A.</w:t>
      </w:r>
      <w:r w:rsidRPr="00233FC1">
        <w:rPr>
          <w:noProof/>
          <w:sz w:val="20"/>
          <w:szCs w:val="20"/>
        </w:rPr>
        <w:t xml:space="preserve"> </w:t>
      </w:r>
      <w:r>
        <w:rPr>
          <w:noProof/>
          <w:sz w:val="20"/>
          <w:szCs w:val="20"/>
        </w:rPr>
        <w:t>Amplification plots and Cqs recorded on a denaturation gradient using protocol P10</w:t>
      </w:r>
      <w:r w:rsidRPr="00233FC1">
        <w:rPr>
          <w:noProof/>
          <w:sz w:val="20"/>
          <w:szCs w:val="20"/>
        </w:rPr>
        <w:t xml:space="preserve">. </w:t>
      </w:r>
      <w:r w:rsidRPr="00233FC1">
        <w:rPr>
          <w:b/>
          <w:bCs/>
          <w:noProof/>
          <w:sz w:val="20"/>
          <w:szCs w:val="20"/>
        </w:rPr>
        <w:t>B.</w:t>
      </w:r>
      <w:r w:rsidRPr="00233FC1">
        <w:rPr>
          <w:noProof/>
          <w:sz w:val="20"/>
          <w:szCs w:val="20"/>
        </w:rPr>
        <w:t xml:space="preserve"> </w:t>
      </w:r>
      <w:r>
        <w:rPr>
          <w:noProof/>
          <w:sz w:val="20"/>
          <w:szCs w:val="20"/>
        </w:rPr>
        <w:t>Amplification plots and Cqs recorded on a polymerisation gradient using protocol P3</w:t>
      </w:r>
      <w:r w:rsidRPr="00233FC1">
        <w:rPr>
          <w:noProof/>
          <w:sz w:val="20"/>
          <w:szCs w:val="20"/>
        </w:rPr>
        <w:t xml:space="preserve">. </w:t>
      </w:r>
      <w:r w:rsidRPr="00233FC1">
        <w:rPr>
          <w:b/>
          <w:bCs/>
          <w:noProof/>
          <w:sz w:val="20"/>
          <w:szCs w:val="20"/>
        </w:rPr>
        <w:t>C.</w:t>
      </w:r>
      <w:r w:rsidRPr="00233FC1">
        <w:rPr>
          <w:noProof/>
          <w:sz w:val="20"/>
          <w:szCs w:val="20"/>
        </w:rPr>
        <w:t xml:space="preserve"> </w:t>
      </w:r>
      <w:r w:rsidRPr="00D463BA">
        <w:rPr>
          <w:noProof/>
          <w:sz w:val="20"/>
          <w:szCs w:val="20"/>
        </w:rPr>
        <w:t>∆Cq values (±</w:t>
      </w:r>
      <w:r w:rsidR="00676E96">
        <w:rPr>
          <w:noProof/>
          <w:sz w:val="20"/>
          <w:szCs w:val="20"/>
        </w:rPr>
        <w:t>95% CI</w:t>
      </w:r>
      <w:r w:rsidRPr="00D463BA">
        <w:rPr>
          <w:noProof/>
          <w:sz w:val="20"/>
          <w:szCs w:val="20"/>
        </w:rPr>
        <w:t xml:space="preserve">) recorded at the indicated cycling temperatures versus protocol P1 for </w:t>
      </w:r>
      <w:r>
        <w:rPr>
          <w:noProof/>
          <w:sz w:val="20"/>
          <w:szCs w:val="20"/>
        </w:rPr>
        <w:t>the DNA (blue) and Pentabase (brown) primers</w:t>
      </w:r>
      <w:r w:rsidRPr="00D463BA">
        <w:rPr>
          <w:noProof/>
          <w:sz w:val="20"/>
          <w:szCs w:val="20"/>
        </w:rPr>
        <w:t>.</w:t>
      </w:r>
      <w:r>
        <w:rPr>
          <w:noProof/>
          <w:sz w:val="20"/>
          <w:szCs w:val="20"/>
        </w:rPr>
        <w:t xml:space="preserve"> </w:t>
      </w:r>
    </w:p>
    <w:p w14:paraId="6A6F9A29" w14:textId="0EC3D35E" w:rsidR="00451EA9" w:rsidRDefault="00451EA9">
      <w:pPr>
        <w:rPr>
          <w:noProof/>
        </w:rPr>
      </w:pPr>
    </w:p>
    <w:p w14:paraId="1DA440C8" w14:textId="65885F98" w:rsidR="00F83F7F" w:rsidRDefault="0030512E">
      <w:pPr>
        <w:rPr>
          <w:noProof/>
        </w:rPr>
      </w:pPr>
      <w:r>
        <w:rPr>
          <w:noProof/>
        </w:rPr>
        <w:t xml:space="preserve">  </w:t>
      </w:r>
    </w:p>
    <w:p w14:paraId="24280303" w14:textId="77777777" w:rsidR="00F83F7F" w:rsidRDefault="00F83F7F">
      <w:pPr>
        <w:rPr>
          <w:noProof/>
        </w:rPr>
      </w:pPr>
    </w:p>
    <w:p w14:paraId="4F9FD31C" w14:textId="3EA2B72B" w:rsidR="008B250F" w:rsidRDefault="008B250F"/>
    <w:p w14:paraId="75165C63" w14:textId="38DFA229" w:rsidR="00365D8B" w:rsidRDefault="007D621C">
      <w:r w:rsidRPr="007D621C">
        <w:t xml:space="preserve"> </w:t>
      </w:r>
      <w:r w:rsidR="008D6C34">
        <w:br w:type="page"/>
      </w:r>
      <w:r w:rsidR="00A84E18" w:rsidRPr="00A84E18">
        <w:rPr>
          <w:noProof/>
        </w:rPr>
        <w:lastRenderedPageBreak/>
        <w:drawing>
          <wp:inline distT="0" distB="0" distL="0" distR="0" wp14:anchorId="765CCA7F" wp14:editId="47750C13">
            <wp:extent cx="5727700" cy="4158615"/>
            <wp:effectExtent l="0" t="0" r="0" b="0"/>
            <wp:docPr id="795307095" name="Picture 1" descr="A graph of a graph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5307095" name="Picture 1" descr="A graph of a graph&#10;&#10;Description automatically generated with medium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58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E334FA" w14:textId="6A851060" w:rsidR="00365D8B" w:rsidRPr="00353E4D" w:rsidRDefault="00365D8B" w:rsidP="00365D8B">
      <w:pPr>
        <w:rPr>
          <w:sz w:val="20"/>
          <w:szCs w:val="20"/>
        </w:rPr>
      </w:pPr>
      <w:r w:rsidRPr="00353E4D">
        <w:rPr>
          <w:b/>
          <w:bCs/>
          <w:sz w:val="20"/>
          <w:szCs w:val="20"/>
        </w:rPr>
        <w:t>Figure S4.</w:t>
      </w:r>
      <w:r w:rsidRPr="00353E4D">
        <w:rPr>
          <w:sz w:val="20"/>
          <w:szCs w:val="20"/>
        </w:rPr>
        <w:t xml:space="preserve">  Linearity and efficiency of 4E-2 (G) qPCR assay. </w:t>
      </w:r>
      <w:r w:rsidRPr="00353E4D">
        <w:rPr>
          <w:b/>
          <w:bCs/>
          <w:sz w:val="20"/>
          <w:szCs w:val="20"/>
        </w:rPr>
        <w:t xml:space="preserve">A. </w:t>
      </w:r>
      <w:r w:rsidRPr="00353E4D">
        <w:rPr>
          <w:sz w:val="20"/>
          <w:szCs w:val="20"/>
        </w:rPr>
        <w:t xml:space="preserve">Amplification plots and Cq values recorded under standard PCR conditions with </w:t>
      </w:r>
      <w:proofErr w:type="spellStart"/>
      <w:r w:rsidRPr="00353E4D">
        <w:rPr>
          <w:sz w:val="20"/>
          <w:szCs w:val="20"/>
        </w:rPr>
        <w:t>SensiFast</w:t>
      </w:r>
      <w:proofErr w:type="spellEnd"/>
      <w:r w:rsidRPr="00353E4D">
        <w:rPr>
          <w:sz w:val="20"/>
          <w:szCs w:val="20"/>
        </w:rPr>
        <w:t xml:space="preserve"> master mix. </w:t>
      </w:r>
      <w:r w:rsidRPr="00353E4D">
        <w:rPr>
          <w:b/>
          <w:bCs/>
          <w:sz w:val="20"/>
          <w:szCs w:val="20"/>
        </w:rPr>
        <w:t>B.</w:t>
      </w:r>
      <w:r w:rsidRPr="00353E4D">
        <w:rPr>
          <w:sz w:val="20"/>
          <w:szCs w:val="20"/>
        </w:rPr>
        <w:t xml:space="preserve"> Amplification plots and Cq values recorded under reduced ∆T conditions with buffer 47</w:t>
      </w:r>
      <w:r w:rsidR="0070763C">
        <w:rPr>
          <w:sz w:val="20"/>
          <w:szCs w:val="20"/>
        </w:rPr>
        <w:t xml:space="preserve"> and </w:t>
      </w:r>
      <w:proofErr w:type="spellStart"/>
      <w:r w:rsidR="0070763C">
        <w:rPr>
          <w:sz w:val="20"/>
          <w:szCs w:val="20"/>
        </w:rPr>
        <w:t>MyTaq</w:t>
      </w:r>
      <w:proofErr w:type="spellEnd"/>
      <w:r w:rsidR="0070763C">
        <w:rPr>
          <w:sz w:val="20"/>
          <w:szCs w:val="20"/>
        </w:rPr>
        <w:t xml:space="preserve"> polymerase</w:t>
      </w:r>
      <w:r w:rsidRPr="00353E4D">
        <w:rPr>
          <w:sz w:val="20"/>
          <w:szCs w:val="20"/>
        </w:rPr>
        <w:t xml:space="preserve">. </w:t>
      </w:r>
      <w:r w:rsidRPr="00353E4D">
        <w:rPr>
          <w:b/>
          <w:bCs/>
          <w:sz w:val="20"/>
          <w:szCs w:val="20"/>
        </w:rPr>
        <w:t>C.</w:t>
      </w:r>
      <w:r w:rsidRPr="00353E4D">
        <w:rPr>
          <w:sz w:val="20"/>
          <w:szCs w:val="20"/>
        </w:rPr>
        <w:t xml:space="preserve"> Standard curves for </w:t>
      </w:r>
      <w:proofErr w:type="spellStart"/>
      <w:r w:rsidRPr="00353E4D">
        <w:rPr>
          <w:sz w:val="20"/>
          <w:szCs w:val="20"/>
        </w:rPr>
        <w:t>SensiFast</w:t>
      </w:r>
      <w:proofErr w:type="spellEnd"/>
      <w:r w:rsidRPr="00353E4D">
        <w:rPr>
          <w:sz w:val="20"/>
          <w:szCs w:val="20"/>
        </w:rPr>
        <w:t xml:space="preserve"> (blue) and B47 (pink) with 95% CI.  </w:t>
      </w:r>
    </w:p>
    <w:p w14:paraId="089E11C1" w14:textId="1C93812B" w:rsidR="00365D8B" w:rsidRDefault="00365D8B">
      <w:r>
        <w:br w:type="page"/>
      </w:r>
    </w:p>
    <w:p w14:paraId="67587D67" w14:textId="77777777" w:rsidR="008D6C34" w:rsidRDefault="008D6C34"/>
    <w:p w14:paraId="56420BE4" w14:textId="77777777" w:rsidR="00BB4DEC" w:rsidRDefault="00BB4DEC"/>
    <w:p w14:paraId="3CE67627" w14:textId="23A9EADD" w:rsidR="00F270FD" w:rsidRDefault="00F270FD">
      <w:pPr>
        <w:rPr>
          <w:rFonts w:ascii="Lucida Bright" w:eastAsiaTheme="majorEastAsia" w:hAnsi="Lucida Bright" w:cstheme="majorBidi"/>
          <w:spacing w:val="-10"/>
          <w:kern w:val="28"/>
          <w:sz w:val="28"/>
          <w:szCs w:val="56"/>
        </w:rPr>
      </w:pPr>
    </w:p>
    <w:p w14:paraId="2A813AEE" w14:textId="77777777" w:rsidR="008D6C34" w:rsidRDefault="008D6C34">
      <w:pPr>
        <w:rPr>
          <w:rFonts w:ascii="Lucida Bright" w:eastAsiaTheme="majorEastAsia" w:hAnsi="Lucida Bright" w:cstheme="majorBidi"/>
          <w:spacing w:val="-10"/>
          <w:kern w:val="28"/>
          <w:sz w:val="28"/>
          <w:szCs w:val="56"/>
        </w:rPr>
      </w:pPr>
    </w:p>
    <w:p w14:paraId="360A5BB4" w14:textId="2F98D596" w:rsidR="008D6C34" w:rsidRPr="006C5D1A" w:rsidRDefault="00353E4D" w:rsidP="006C5D1A">
      <w:pPr>
        <w:pStyle w:val="Title"/>
        <w:rPr>
          <w:rFonts w:ascii="Garamond" w:hAnsi="Garamond"/>
          <w:sz w:val="20"/>
          <w:szCs w:val="20"/>
        </w:rPr>
      </w:pPr>
      <w:r w:rsidRPr="00353E4D">
        <w:rPr>
          <w:rFonts w:ascii="Garamond" w:hAnsi="Garamond" w:cs="Garamond"/>
          <w:b/>
          <w:bCs/>
          <w:noProof/>
          <w:color w:val="000000"/>
          <w:sz w:val="20"/>
          <w:szCs w:val="20"/>
        </w:rPr>
        <w:drawing>
          <wp:inline distT="0" distB="0" distL="0" distR="0" wp14:anchorId="15469E2E" wp14:editId="3EFF9713">
            <wp:extent cx="5727700" cy="4667885"/>
            <wp:effectExtent l="0" t="0" r="0" b="5715"/>
            <wp:docPr id="1474821788" name="Picture 1" descr="A collage of graph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4821788" name="Picture 1" descr="A collage of graphs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66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23A81" w:rsidRPr="006C5D1A">
        <w:rPr>
          <w:rFonts w:ascii="Garamond" w:hAnsi="Garamond" w:cs="Garamond"/>
          <w:b/>
          <w:bCs/>
          <w:color w:val="000000"/>
          <w:sz w:val="20"/>
          <w:szCs w:val="20"/>
        </w:rPr>
        <w:t>Figure S</w:t>
      </w:r>
      <w:r w:rsidR="00365D8B">
        <w:rPr>
          <w:rFonts w:ascii="Garamond" w:hAnsi="Garamond" w:cs="Garamond"/>
          <w:b/>
          <w:bCs/>
          <w:color w:val="000000"/>
          <w:sz w:val="20"/>
          <w:szCs w:val="20"/>
        </w:rPr>
        <w:t>5</w:t>
      </w:r>
      <w:r w:rsidR="00223A81" w:rsidRPr="006C5D1A">
        <w:rPr>
          <w:rFonts w:ascii="Garamond" w:hAnsi="Garamond" w:cs="Garamond"/>
          <w:b/>
          <w:bCs/>
          <w:color w:val="000000"/>
          <w:sz w:val="20"/>
          <w:szCs w:val="20"/>
        </w:rPr>
        <w:t>.</w:t>
      </w:r>
      <w:r w:rsidR="00223A81" w:rsidRPr="006C5D1A">
        <w:rPr>
          <w:rFonts w:ascii="Garamond" w:hAnsi="Garamond" w:cs="Garamond"/>
          <w:color w:val="000000"/>
          <w:sz w:val="20"/>
          <w:szCs w:val="20"/>
        </w:rPr>
        <w:t xml:space="preserve">  Amplification of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>pathogen</w:t>
      </w:r>
      <w:r w:rsidR="006C5D1A">
        <w:rPr>
          <w:rFonts w:ascii="Garamond" w:hAnsi="Garamond" w:cs="Garamond"/>
          <w:i/>
          <w:iCs/>
          <w:color w:val="000000"/>
          <w:sz w:val="20"/>
          <w:szCs w:val="20"/>
        </w:rPr>
        <w:t xml:space="preserve"> </w:t>
      </w:r>
      <w:r w:rsidR="00223A81" w:rsidRPr="006C5D1A">
        <w:rPr>
          <w:rFonts w:ascii="Garamond" w:hAnsi="Garamond" w:cs="Garamond"/>
          <w:color w:val="000000"/>
          <w:sz w:val="20"/>
          <w:szCs w:val="20"/>
        </w:rPr>
        <w:t xml:space="preserve">gDNA </w:t>
      </w:r>
      <w:r w:rsidR="006C5D1A">
        <w:rPr>
          <w:rFonts w:ascii="Garamond" w:hAnsi="Garamond" w:cs="Garamond"/>
          <w:color w:val="000000"/>
          <w:sz w:val="20"/>
          <w:szCs w:val="20"/>
        </w:rPr>
        <w:t xml:space="preserve">on denaturation and polymerisation gradients </w:t>
      </w:r>
      <w:r w:rsidR="00223A81" w:rsidRPr="006C5D1A">
        <w:rPr>
          <w:rFonts w:ascii="Garamond" w:hAnsi="Garamond" w:cs="Garamond"/>
          <w:color w:val="000000"/>
          <w:sz w:val="20"/>
          <w:szCs w:val="20"/>
        </w:rPr>
        <w:t xml:space="preserve">with B27 on a BioRad CFX Connect. </w:t>
      </w:r>
      <w:r w:rsidR="006C5D1A" w:rsidRPr="006C5D1A">
        <w:rPr>
          <w:rFonts w:ascii="Garamond" w:hAnsi="Garamond" w:cs="Garamond"/>
          <w:b/>
          <w:bCs/>
          <w:color w:val="000000"/>
          <w:sz w:val="20"/>
          <w:szCs w:val="20"/>
        </w:rPr>
        <w:t xml:space="preserve">A.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C. auris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gDNA on a denaturation gradient using protocol P12. </w:t>
      </w:r>
      <w:r w:rsidR="006C5D1A" w:rsidRPr="006C5D1A">
        <w:rPr>
          <w:rFonts w:ascii="Garamond" w:hAnsi="Garamond" w:cs="Garamond"/>
          <w:b/>
          <w:bCs/>
          <w:color w:val="000000"/>
          <w:sz w:val="20"/>
          <w:szCs w:val="20"/>
        </w:rPr>
        <w:t>B.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C. auris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gDNA on a polymerisation gradient using protocol P13. </w:t>
      </w:r>
      <w:r w:rsidR="006C5D1A" w:rsidRPr="006C5D1A">
        <w:rPr>
          <w:rFonts w:ascii="Garamond" w:hAnsi="Garamond" w:cs="Garamond"/>
          <w:b/>
          <w:bCs/>
          <w:color w:val="000000"/>
          <w:sz w:val="20"/>
          <w:szCs w:val="20"/>
        </w:rPr>
        <w:t>C.</w:t>
      </w:r>
      <w:r w:rsidR="006C5D1A">
        <w:rPr>
          <w:rFonts w:ascii="Garamond" w:hAnsi="Garamond" w:cs="Garamond"/>
          <w:color w:val="000000"/>
          <w:sz w:val="20"/>
          <w:szCs w:val="20"/>
        </w:rPr>
        <w:t xml:space="preserve">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A. fumigatus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gDNA on a denaturation gradient using protocol P12. </w:t>
      </w:r>
      <w:r w:rsidR="006C5D1A" w:rsidRPr="006C5D1A">
        <w:rPr>
          <w:rFonts w:ascii="Garamond" w:hAnsi="Garamond" w:cs="Garamond"/>
          <w:b/>
          <w:bCs/>
          <w:color w:val="000000"/>
          <w:sz w:val="20"/>
          <w:szCs w:val="20"/>
        </w:rPr>
        <w:t>D.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A. fumigatus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gDNA on a polymerisation gradient using protocol P13. </w:t>
      </w:r>
      <w:r w:rsidR="006C5D1A" w:rsidRPr="006C5D1A">
        <w:rPr>
          <w:rFonts w:ascii="Garamond" w:hAnsi="Garamond" w:cs="Garamond"/>
          <w:b/>
          <w:bCs/>
          <w:color w:val="000000"/>
          <w:sz w:val="20"/>
          <w:szCs w:val="20"/>
        </w:rPr>
        <w:t>E.</w:t>
      </w:r>
      <w:r w:rsidR="006C5D1A">
        <w:rPr>
          <w:rFonts w:ascii="Garamond" w:hAnsi="Garamond" w:cs="Garamond"/>
          <w:color w:val="000000"/>
          <w:sz w:val="20"/>
          <w:szCs w:val="20"/>
        </w:rPr>
        <w:t xml:space="preserve">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 xml:space="preserve">Acanthamoeba </w:t>
      </w:r>
      <w:proofErr w:type="spellStart"/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castelanii</w:t>
      </w:r>
      <w:proofErr w:type="spellEnd"/>
      <w:r w:rsidR="006C5D1A">
        <w:rPr>
          <w:rFonts w:ascii="Garamond" w:hAnsi="Garamond" w:cs="Garamond"/>
          <w:color w:val="000000"/>
          <w:sz w:val="20"/>
          <w:szCs w:val="20"/>
        </w:rPr>
        <w:t xml:space="preserve"> gDNA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on a denaturation gradient using protocol P12. </w:t>
      </w:r>
      <w:r w:rsidR="006C5D1A">
        <w:rPr>
          <w:rFonts w:ascii="Garamond" w:hAnsi="Garamond" w:cs="Garamond"/>
          <w:color w:val="000000"/>
          <w:sz w:val="20"/>
          <w:szCs w:val="20"/>
        </w:rPr>
        <w:t>F.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 xml:space="preserve"> Amplification plots and Cqs recorded with </w:t>
      </w:r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 xml:space="preserve">Acanthamoeba </w:t>
      </w:r>
      <w:proofErr w:type="spellStart"/>
      <w:r w:rsidR="006C5D1A" w:rsidRPr="006C5D1A">
        <w:rPr>
          <w:rFonts w:ascii="Garamond" w:hAnsi="Garamond" w:cs="Garamond"/>
          <w:i/>
          <w:iCs/>
          <w:color w:val="000000"/>
          <w:sz w:val="20"/>
          <w:szCs w:val="20"/>
        </w:rPr>
        <w:t>castelanii</w:t>
      </w:r>
      <w:proofErr w:type="spellEnd"/>
      <w:r w:rsidR="006C5D1A">
        <w:rPr>
          <w:rFonts w:ascii="Garamond" w:hAnsi="Garamond" w:cs="Garamond"/>
          <w:color w:val="000000"/>
          <w:sz w:val="20"/>
          <w:szCs w:val="20"/>
        </w:rPr>
        <w:t xml:space="preserve"> gDNA </w:t>
      </w:r>
      <w:r w:rsidR="006C5D1A" w:rsidRPr="006C5D1A">
        <w:rPr>
          <w:rFonts w:ascii="Garamond" w:hAnsi="Garamond" w:cs="Garamond"/>
          <w:color w:val="000000"/>
          <w:sz w:val="20"/>
          <w:szCs w:val="20"/>
        </w:rPr>
        <w:t>on a polymerisation gradient using protocol P13.</w:t>
      </w:r>
    </w:p>
    <w:p w14:paraId="7F5B94BE" w14:textId="77777777" w:rsidR="001B540A" w:rsidRDefault="001B540A"/>
    <w:p w14:paraId="0B03E2BB" w14:textId="2F1DC792" w:rsidR="00365D8B" w:rsidRDefault="00365D8B">
      <w:r>
        <w:br w:type="page"/>
      </w:r>
    </w:p>
    <w:p w14:paraId="247E0940" w14:textId="12B9B58B" w:rsidR="006E77EE" w:rsidRDefault="009275EC">
      <w:pPr>
        <w:rPr>
          <w:sz w:val="20"/>
          <w:szCs w:val="20"/>
        </w:rPr>
      </w:pPr>
      <w:r w:rsidRPr="009275EC">
        <w:rPr>
          <w:noProof/>
        </w:rPr>
        <w:lastRenderedPageBreak/>
        <w:drawing>
          <wp:inline distT="0" distB="0" distL="0" distR="0" wp14:anchorId="060D7CEA" wp14:editId="00776074">
            <wp:extent cx="5727700" cy="3707130"/>
            <wp:effectExtent l="0" t="0" r="0" b="1270"/>
            <wp:docPr id="774478481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4478481" name="Picture 1" descr="A screenshot of a graph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70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65D8B" w:rsidRPr="00DE14F5">
        <w:t xml:space="preserve"> </w:t>
      </w:r>
      <w:r w:rsidRPr="00DC2C5C">
        <w:rPr>
          <w:b/>
          <w:bCs/>
          <w:noProof/>
          <w:sz w:val="20"/>
          <w:szCs w:val="20"/>
        </w:rPr>
        <w:t>F</w:t>
      </w:r>
      <w:proofErr w:type="spellStart"/>
      <w:r w:rsidRPr="00DC2C5C">
        <w:rPr>
          <w:b/>
          <w:bCs/>
          <w:sz w:val="20"/>
          <w:szCs w:val="20"/>
        </w:rPr>
        <w:t>igure</w:t>
      </w:r>
      <w:proofErr w:type="spellEnd"/>
      <w:r w:rsidRPr="00DC2C5C">
        <w:rPr>
          <w:b/>
          <w:bCs/>
          <w:sz w:val="20"/>
          <w:szCs w:val="20"/>
        </w:rPr>
        <w:t xml:space="preserve"> S6.</w:t>
      </w:r>
      <w:r w:rsidRPr="00DC2C5C">
        <w:rPr>
          <w:sz w:val="20"/>
          <w:szCs w:val="20"/>
        </w:rPr>
        <w:t xml:space="preserve">  2-step RT-qPCR analysis of human breast cancer with  mRNA reverse transcribed using three RTs in buffer 47 or their native buffers on a </w:t>
      </w:r>
      <w:proofErr w:type="spellStart"/>
      <w:r w:rsidRPr="00DC2C5C">
        <w:rPr>
          <w:sz w:val="20"/>
          <w:szCs w:val="20"/>
        </w:rPr>
        <w:t>Hybaid</w:t>
      </w:r>
      <w:proofErr w:type="spellEnd"/>
      <w:r w:rsidRPr="00DC2C5C">
        <w:rPr>
          <w:sz w:val="20"/>
          <w:szCs w:val="20"/>
        </w:rPr>
        <w:t xml:space="preserve"> PrimePro 48 qPCR instrument. </w:t>
      </w:r>
      <w:r w:rsidRPr="00DC2C5C">
        <w:rPr>
          <w:b/>
          <w:bCs/>
          <w:sz w:val="20"/>
          <w:szCs w:val="20"/>
        </w:rPr>
        <w:t>A.</w:t>
      </w:r>
      <w:r w:rsidRPr="00DC2C5C">
        <w:rPr>
          <w:sz w:val="20"/>
          <w:szCs w:val="20"/>
        </w:rPr>
        <w:t xml:space="preserve"> GAPDH amplification plots, melt curves (inset) and Cq values recorded for each of the mRNA synthesised with native buffers or buffer 47. </w:t>
      </w:r>
      <w:r w:rsidRPr="00DC2C5C">
        <w:rPr>
          <w:b/>
          <w:bCs/>
          <w:sz w:val="20"/>
          <w:szCs w:val="20"/>
        </w:rPr>
        <w:t>B.</w:t>
      </w:r>
      <w:r w:rsidRPr="00DC2C5C">
        <w:rPr>
          <w:sz w:val="20"/>
          <w:szCs w:val="20"/>
        </w:rPr>
        <w:t xml:space="preserve"> Plot of ∆Cq values </w:t>
      </w:r>
      <w:r>
        <w:rPr>
          <w:sz w:val="20"/>
          <w:szCs w:val="20"/>
        </w:rPr>
        <w:t xml:space="preserve">(±95% CI) </w:t>
      </w:r>
      <w:r w:rsidRPr="00DC2C5C">
        <w:rPr>
          <w:sz w:val="20"/>
          <w:szCs w:val="20"/>
        </w:rPr>
        <w:t xml:space="preserve">recorded for each of the mRNA samples reverse transcribed with buffer 47 versus the Cqs recorded from mRNA samples reverse transcribed with native buffers. </w:t>
      </w:r>
      <w:r w:rsidRPr="00DC2C5C">
        <w:rPr>
          <w:b/>
          <w:bCs/>
          <w:sz w:val="20"/>
          <w:szCs w:val="20"/>
        </w:rPr>
        <w:t>C.</w:t>
      </w:r>
      <w:r w:rsidRPr="00DC2C5C">
        <w:rPr>
          <w:sz w:val="20"/>
          <w:szCs w:val="20"/>
        </w:rPr>
        <w:t xml:space="preserve"> TSG-6 and HGF-1 amplification plots and Cq values recorded for each of the cDNAs synthesised with native buffers or buffer 47 and amplified using Luna master mix. </w:t>
      </w:r>
      <w:r w:rsidRPr="00DC2C5C">
        <w:rPr>
          <w:b/>
          <w:bCs/>
          <w:sz w:val="20"/>
          <w:szCs w:val="20"/>
        </w:rPr>
        <w:t>D.</w:t>
      </w:r>
      <w:r w:rsidRPr="00DC2C5C">
        <w:rPr>
          <w:sz w:val="20"/>
          <w:szCs w:val="20"/>
        </w:rPr>
        <w:t xml:space="preserve"> Plot of ∆Cq values </w:t>
      </w:r>
      <w:r>
        <w:rPr>
          <w:sz w:val="20"/>
          <w:szCs w:val="20"/>
        </w:rPr>
        <w:t xml:space="preserve">(±95% CI) </w:t>
      </w:r>
      <w:r w:rsidRPr="00DC2C5C">
        <w:rPr>
          <w:sz w:val="20"/>
          <w:szCs w:val="20"/>
        </w:rPr>
        <w:t>recorded for each of the mRNA samples reverse transcribed with buffer 47 versus the Cqs recorded from mRNA samples reverse transcribed with native buffers.</w:t>
      </w:r>
    </w:p>
    <w:p w14:paraId="0419AEB3" w14:textId="77777777" w:rsidR="006E77EE" w:rsidRDefault="006E77EE">
      <w:pPr>
        <w:rPr>
          <w:sz w:val="20"/>
          <w:szCs w:val="20"/>
        </w:rPr>
      </w:pPr>
      <w:r>
        <w:rPr>
          <w:sz w:val="20"/>
          <w:szCs w:val="20"/>
        </w:rPr>
        <w:br w:type="page"/>
      </w:r>
    </w:p>
    <w:p w14:paraId="7FD8918F" w14:textId="77777777" w:rsidR="00365D8B" w:rsidRDefault="00365D8B"/>
    <w:p w14:paraId="5E92B752" w14:textId="4DFCC1DF" w:rsidR="008D6C34" w:rsidRDefault="00A84E18" w:rsidP="008D6C34">
      <w:r w:rsidRPr="00A84E18">
        <w:rPr>
          <w:noProof/>
        </w:rPr>
        <w:drawing>
          <wp:inline distT="0" distB="0" distL="0" distR="0" wp14:anchorId="74A6551C" wp14:editId="65DC3BDB">
            <wp:extent cx="5727700" cy="4082415"/>
            <wp:effectExtent l="0" t="0" r="0" b="0"/>
            <wp:docPr id="175868478" name="Picture 1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868478" name="Picture 1" descr="A screenshot of a computer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82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EB0C3" w14:textId="77777777" w:rsidR="008550FF" w:rsidRPr="00DC2C5C" w:rsidRDefault="008550FF" w:rsidP="008550FF">
      <w:pPr>
        <w:rPr>
          <w:sz w:val="20"/>
          <w:szCs w:val="20"/>
        </w:rPr>
      </w:pPr>
      <w:r w:rsidRPr="00DC2C5C">
        <w:rPr>
          <w:rFonts w:cs="Garamond"/>
          <w:b/>
          <w:bCs/>
          <w:color w:val="000000"/>
          <w:sz w:val="20"/>
          <w:szCs w:val="20"/>
        </w:rPr>
        <w:t>Figure S7.</w:t>
      </w:r>
      <w:r w:rsidRPr="00DC2C5C">
        <w:rPr>
          <w:rFonts w:cs="Garamond"/>
          <w:color w:val="000000"/>
          <w:sz w:val="20"/>
          <w:szCs w:val="20"/>
        </w:rPr>
        <w:t xml:space="preserve">  2-step RT-qPCR reactions with SARS-CoV-2 gRNA reverse transcribed with native RT buffers or B47 and using the </w:t>
      </w:r>
      <w:proofErr w:type="spellStart"/>
      <w:r w:rsidRPr="00DC2C5C">
        <w:rPr>
          <w:rFonts w:cs="Garamond"/>
          <w:color w:val="000000"/>
          <w:sz w:val="20"/>
          <w:szCs w:val="20"/>
        </w:rPr>
        <w:t>CoV</w:t>
      </w:r>
      <w:proofErr w:type="spellEnd"/>
      <w:r w:rsidRPr="00DC2C5C">
        <w:rPr>
          <w:rFonts w:cs="Garamond"/>
          <w:color w:val="000000"/>
          <w:sz w:val="20"/>
          <w:szCs w:val="20"/>
        </w:rPr>
        <w:t xml:space="preserve">-E assay. </w:t>
      </w:r>
      <w:r w:rsidRPr="00DC2C5C">
        <w:rPr>
          <w:rFonts w:cs="Garamond"/>
          <w:b/>
          <w:bCs/>
          <w:color w:val="000000"/>
          <w:sz w:val="20"/>
          <w:szCs w:val="20"/>
        </w:rPr>
        <w:t>A.</w:t>
      </w:r>
      <w:r w:rsidRPr="00DC2C5C">
        <w:rPr>
          <w:rFonts w:cs="Garamond"/>
          <w:color w:val="000000"/>
          <w:sz w:val="20"/>
          <w:szCs w:val="20"/>
        </w:rPr>
        <w:t xml:space="preserve"> Amplification plots and Cq values recorded for mRNA reverse transcribed with </w:t>
      </w:r>
      <w:proofErr w:type="spellStart"/>
      <w:r w:rsidRPr="00DC2C5C">
        <w:rPr>
          <w:rFonts w:cs="Garamond"/>
          <w:color w:val="000000"/>
          <w:sz w:val="20"/>
          <w:szCs w:val="20"/>
        </w:rPr>
        <w:t>EpiScript</w:t>
      </w:r>
      <w:proofErr w:type="spellEnd"/>
      <w:r w:rsidRPr="00DC2C5C">
        <w:rPr>
          <w:rFonts w:cs="Garamond"/>
          <w:color w:val="000000"/>
          <w:sz w:val="20"/>
          <w:szCs w:val="20"/>
        </w:rPr>
        <w:t xml:space="preserve"> (ES) in its native buffer (n=7) or B47 (n=7) and amplified with </w:t>
      </w:r>
      <w:proofErr w:type="spellStart"/>
      <w:r w:rsidRPr="00DC2C5C">
        <w:rPr>
          <w:rFonts w:cs="Garamond"/>
          <w:color w:val="000000"/>
          <w:sz w:val="20"/>
          <w:szCs w:val="20"/>
        </w:rPr>
        <w:t>SensiFast</w:t>
      </w:r>
      <w:proofErr w:type="spellEnd"/>
      <w:r w:rsidRPr="00DC2C5C">
        <w:rPr>
          <w:rFonts w:cs="Garamond"/>
          <w:color w:val="000000"/>
          <w:sz w:val="20"/>
          <w:szCs w:val="20"/>
        </w:rPr>
        <w:t xml:space="preserve"> on a Hybrid PrimePro 48 instrument. </w:t>
      </w:r>
      <w:r w:rsidRPr="00DC2C5C">
        <w:rPr>
          <w:rFonts w:cs="Garamond"/>
          <w:b/>
          <w:bCs/>
          <w:color w:val="000000"/>
          <w:sz w:val="20"/>
          <w:szCs w:val="20"/>
        </w:rPr>
        <w:t xml:space="preserve">B. </w:t>
      </w:r>
      <w:r w:rsidRPr="00DC2C5C">
        <w:rPr>
          <w:rFonts w:cs="Garamond"/>
          <w:color w:val="000000"/>
          <w:sz w:val="20"/>
          <w:szCs w:val="20"/>
        </w:rPr>
        <w:t>∆Cq values (±</w:t>
      </w:r>
      <w:r>
        <w:rPr>
          <w:rFonts w:cs="Garamond"/>
          <w:color w:val="000000"/>
          <w:sz w:val="20"/>
          <w:szCs w:val="20"/>
        </w:rPr>
        <w:t>95% CI</w:t>
      </w:r>
      <w:r w:rsidRPr="00DC2C5C">
        <w:rPr>
          <w:rFonts w:cs="Garamond"/>
          <w:color w:val="000000"/>
          <w:sz w:val="20"/>
          <w:szCs w:val="20"/>
        </w:rPr>
        <w:t>) recorded for the combined mRNA samples reverse transcribed with buffer 47 versus the Cqs recorded from mRNA samples reverse transcribed with native buffers.</w:t>
      </w:r>
      <w:r w:rsidRPr="00DC2C5C">
        <w:rPr>
          <w:rFonts w:cs="Times-Roman"/>
          <w:color w:val="000000"/>
          <w:sz w:val="20"/>
          <w:szCs w:val="20"/>
        </w:rPr>
        <w:t xml:space="preserve"> </w:t>
      </w:r>
      <w:r w:rsidRPr="00DC2C5C">
        <w:rPr>
          <w:rFonts w:cs="Garamond"/>
          <w:color w:val="000000"/>
          <w:sz w:val="20"/>
          <w:szCs w:val="20"/>
        </w:rPr>
        <w:t xml:space="preserve"> </w:t>
      </w:r>
      <w:r w:rsidRPr="00DC2C5C">
        <w:rPr>
          <w:rFonts w:cs="Garamond"/>
          <w:b/>
          <w:bCs/>
          <w:color w:val="000000"/>
          <w:sz w:val="20"/>
          <w:szCs w:val="20"/>
        </w:rPr>
        <w:t>C.</w:t>
      </w:r>
      <w:r w:rsidRPr="00DC2C5C">
        <w:rPr>
          <w:rFonts w:cs="Garamond"/>
          <w:color w:val="000000"/>
          <w:sz w:val="20"/>
          <w:szCs w:val="20"/>
        </w:rPr>
        <w:t xml:space="preserve"> Amplification plots recorded for mRNA reverse transcribed with UltraScript-2 (US-2) in its native buffer (n=4) or B47 (n=4) and amplified with B47 on a BioRad Opus instrument. </w:t>
      </w:r>
      <w:r w:rsidRPr="00DC2C5C">
        <w:rPr>
          <w:rFonts w:cs="Garamond"/>
          <w:b/>
          <w:bCs/>
          <w:color w:val="000000"/>
          <w:sz w:val="20"/>
          <w:szCs w:val="20"/>
        </w:rPr>
        <w:t>D.</w:t>
      </w:r>
      <w:r w:rsidRPr="00DC2C5C">
        <w:rPr>
          <w:rFonts w:cs="Garamond"/>
          <w:color w:val="000000"/>
          <w:sz w:val="20"/>
          <w:szCs w:val="20"/>
        </w:rPr>
        <w:t xml:space="preserve"> ∆Cq values (±</w:t>
      </w:r>
      <w:r>
        <w:rPr>
          <w:rFonts w:cs="Garamond"/>
          <w:color w:val="000000"/>
          <w:sz w:val="20"/>
          <w:szCs w:val="20"/>
        </w:rPr>
        <w:t>95% CI</w:t>
      </w:r>
      <w:r w:rsidRPr="00DC2C5C">
        <w:rPr>
          <w:rFonts w:cs="Garamond"/>
          <w:color w:val="000000"/>
          <w:sz w:val="20"/>
          <w:szCs w:val="20"/>
        </w:rPr>
        <w:t>) recorded for the combined  mRNA samples reverse transcribed with buffer 47 versus the Cqs recorded from mRNA samples reverse transcribed with native buffers.</w:t>
      </w:r>
    </w:p>
    <w:p w14:paraId="7AC0842E" w14:textId="1FAF14EE" w:rsidR="00252017" w:rsidRDefault="007971E8" w:rsidP="008D6C34">
      <w:r>
        <w:br w:type="page"/>
      </w:r>
      <w:r w:rsidR="00BB4DEC" w:rsidRPr="00BB4DEC">
        <w:rPr>
          <w:noProof/>
        </w:rPr>
        <w:lastRenderedPageBreak/>
        <w:drawing>
          <wp:inline distT="0" distB="0" distL="0" distR="0" wp14:anchorId="1AC29EB8" wp14:editId="615DE6C4">
            <wp:extent cx="5727700" cy="3670935"/>
            <wp:effectExtent l="0" t="0" r="0" b="0"/>
            <wp:docPr id="1322977788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2977788" name="Picture 1" descr="A screenshot of a graph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67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E7A66" w14:textId="77777777" w:rsidR="00BB4DEC" w:rsidRPr="00DC2C5C" w:rsidRDefault="00BB4DEC" w:rsidP="00BB4DEC">
      <w:pPr>
        <w:rPr>
          <w:sz w:val="20"/>
          <w:szCs w:val="20"/>
        </w:rPr>
      </w:pPr>
      <w:r w:rsidRPr="00DC2C5C">
        <w:rPr>
          <w:rFonts w:cs="Garamond"/>
          <w:b/>
          <w:bCs/>
          <w:color w:val="000000"/>
          <w:sz w:val="20"/>
          <w:szCs w:val="20"/>
        </w:rPr>
        <w:t>Figure S8.</w:t>
      </w:r>
      <w:r w:rsidRPr="00DC2C5C">
        <w:rPr>
          <w:rFonts w:cs="Garamond"/>
          <w:color w:val="000000"/>
          <w:sz w:val="20"/>
          <w:szCs w:val="20"/>
        </w:rPr>
        <w:t xml:space="preserve">  </w:t>
      </w:r>
      <w:r w:rsidRPr="00DC2C5C">
        <w:rPr>
          <w:sz w:val="20"/>
          <w:szCs w:val="20"/>
        </w:rPr>
        <w:t>1-step RT-qPCR reactions with human breast cancer mRNA using  NEB Lu</w:t>
      </w:r>
      <w:r>
        <w:rPr>
          <w:sz w:val="20"/>
          <w:szCs w:val="20"/>
        </w:rPr>
        <w:t>n</w:t>
      </w:r>
      <w:r w:rsidRPr="00DC2C5C">
        <w:rPr>
          <w:sz w:val="20"/>
          <w:szCs w:val="20"/>
        </w:rPr>
        <w:t xml:space="preserve">a or </w:t>
      </w:r>
      <w:proofErr w:type="spellStart"/>
      <w:r w:rsidRPr="00DC2C5C">
        <w:rPr>
          <w:sz w:val="20"/>
          <w:szCs w:val="20"/>
        </w:rPr>
        <w:t>EpiScript</w:t>
      </w:r>
      <w:proofErr w:type="spellEnd"/>
      <w:r w:rsidRPr="00DC2C5C">
        <w:rPr>
          <w:sz w:val="20"/>
          <w:szCs w:val="20"/>
        </w:rPr>
        <w:t>/B47</w:t>
      </w:r>
      <w:r>
        <w:rPr>
          <w:sz w:val="20"/>
          <w:szCs w:val="20"/>
        </w:rPr>
        <w:t xml:space="preserve"> with </w:t>
      </w:r>
      <w:proofErr w:type="spellStart"/>
      <w:r w:rsidRPr="00DC2C5C">
        <w:rPr>
          <w:sz w:val="20"/>
          <w:szCs w:val="20"/>
        </w:rPr>
        <w:t>MyTaq</w:t>
      </w:r>
      <w:proofErr w:type="spellEnd"/>
      <w:r w:rsidRPr="00DC2C5C">
        <w:rPr>
          <w:sz w:val="20"/>
          <w:szCs w:val="20"/>
        </w:rPr>
        <w:t xml:space="preserve"> </w:t>
      </w:r>
      <w:r>
        <w:rPr>
          <w:sz w:val="20"/>
          <w:szCs w:val="20"/>
        </w:rPr>
        <w:t xml:space="preserve">or </w:t>
      </w:r>
      <w:proofErr w:type="spellStart"/>
      <w:r>
        <w:rPr>
          <w:sz w:val="20"/>
          <w:szCs w:val="20"/>
        </w:rPr>
        <w:t>GoTaq</w:t>
      </w:r>
      <w:proofErr w:type="spellEnd"/>
      <w:r>
        <w:rPr>
          <w:sz w:val="20"/>
          <w:szCs w:val="20"/>
        </w:rPr>
        <w:t xml:space="preserve"> or </w:t>
      </w:r>
      <w:proofErr w:type="spellStart"/>
      <w:r>
        <w:rPr>
          <w:sz w:val="20"/>
          <w:szCs w:val="20"/>
        </w:rPr>
        <w:t>ExTaq</w:t>
      </w:r>
      <w:proofErr w:type="spellEnd"/>
      <w:r>
        <w:rPr>
          <w:sz w:val="20"/>
          <w:szCs w:val="20"/>
        </w:rPr>
        <w:t xml:space="preserve"> DNA polymerases </w:t>
      </w:r>
      <w:r w:rsidRPr="00DC2C5C">
        <w:rPr>
          <w:sz w:val="20"/>
          <w:szCs w:val="20"/>
        </w:rPr>
        <w:t xml:space="preserve">1-step master mixes. </w:t>
      </w:r>
      <w:r w:rsidRPr="00DC2C5C">
        <w:rPr>
          <w:b/>
          <w:bCs/>
          <w:sz w:val="20"/>
          <w:szCs w:val="20"/>
        </w:rPr>
        <w:t>A.</w:t>
      </w:r>
      <w:r w:rsidRPr="00DC2C5C">
        <w:rPr>
          <w:sz w:val="20"/>
          <w:szCs w:val="20"/>
        </w:rPr>
        <w:t xml:space="preserve"> Amplification plots and Cq values for TSG-6 (FAM) and HGF-1 (HEX) on the PrimePro 48. </w:t>
      </w:r>
      <w:r w:rsidRPr="00DC2C5C">
        <w:rPr>
          <w:b/>
          <w:bCs/>
          <w:sz w:val="20"/>
          <w:szCs w:val="20"/>
        </w:rPr>
        <w:t>B.</w:t>
      </w:r>
      <w:r w:rsidRPr="00DC2C5C">
        <w:rPr>
          <w:sz w:val="20"/>
          <w:szCs w:val="20"/>
        </w:rPr>
        <w:t xml:space="preserve"> Amplification plots and Cq values for TSG-6 (FAM) and HGF-1 (HEX) on the BioRad CFX Connect. </w:t>
      </w:r>
      <w:r w:rsidRPr="00DC2C5C">
        <w:rPr>
          <w:b/>
          <w:bCs/>
          <w:sz w:val="20"/>
          <w:szCs w:val="20"/>
        </w:rPr>
        <w:t>C.</w:t>
      </w:r>
      <w:r w:rsidRPr="00DC2C5C">
        <w:rPr>
          <w:sz w:val="20"/>
          <w:szCs w:val="20"/>
        </w:rPr>
        <w:t xml:space="preserve"> Plot of Cq values (±SD) for TSG on the PrimePro 48. </w:t>
      </w:r>
      <w:r w:rsidRPr="00DC2C5C">
        <w:rPr>
          <w:b/>
          <w:bCs/>
          <w:sz w:val="20"/>
          <w:szCs w:val="20"/>
        </w:rPr>
        <w:t>D.</w:t>
      </w:r>
      <w:r w:rsidRPr="00DC2C5C">
        <w:rPr>
          <w:sz w:val="20"/>
          <w:szCs w:val="20"/>
        </w:rPr>
        <w:t xml:space="preserve"> Plot of Cq values (±SD) for TSG on the BioRad CFX Connect. </w:t>
      </w:r>
      <w:r w:rsidRPr="00DC2C5C">
        <w:rPr>
          <w:b/>
          <w:bCs/>
          <w:sz w:val="20"/>
          <w:szCs w:val="20"/>
        </w:rPr>
        <w:t>E.</w:t>
      </w:r>
      <w:r w:rsidRPr="00DC2C5C">
        <w:rPr>
          <w:sz w:val="20"/>
          <w:szCs w:val="20"/>
        </w:rPr>
        <w:t xml:space="preserve"> Plot of Cq values (±SD) for HGF-1 on the PrimePro 48.</w:t>
      </w:r>
      <w:r w:rsidRPr="00DC2C5C">
        <w:rPr>
          <w:b/>
          <w:bCs/>
          <w:sz w:val="20"/>
          <w:szCs w:val="20"/>
        </w:rPr>
        <w:t xml:space="preserve"> F. </w:t>
      </w:r>
      <w:r w:rsidRPr="00DC2C5C">
        <w:rPr>
          <w:sz w:val="20"/>
          <w:szCs w:val="20"/>
        </w:rPr>
        <w:t>Plot of Cq values (±SD) for HGF-1 on the BioRad CFX Connect.</w:t>
      </w:r>
    </w:p>
    <w:p w14:paraId="22982BFF" w14:textId="42DC8D4F" w:rsidR="009A5ABF" w:rsidRDefault="009A5ABF">
      <w:r>
        <w:br w:type="page"/>
      </w:r>
    </w:p>
    <w:p w14:paraId="0CF80A38" w14:textId="77777777" w:rsidR="00BB4DEC" w:rsidRDefault="00BB4DEC" w:rsidP="008D6C34"/>
    <w:p w14:paraId="2AFF986D" w14:textId="77777777" w:rsidR="00BB4DEC" w:rsidRDefault="00BB4DEC" w:rsidP="008D6C34"/>
    <w:p w14:paraId="268411C7" w14:textId="44A9A4C1" w:rsidR="00BB4DEC" w:rsidRDefault="00BB4DEC">
      <w:pPr>
        <w:rPr>
          <w:noProof/>
        </w:rPr>
      </w:pPr>
    </w:p>
    <w:p w14:paraId="3853AD53" w14:textId="1C9AA730" w:rsidR="00BB4DEC" w:rsidRDefault="00BB4DEC" w:rsidP="008D6C34">
      <w:pPr>
        <w:rPr>
          <w:sz w:val="20"/>
          <w:szCs w:val="20"/>
        </w:rPr>
      </w:pPr>
      <w:r w:rsidRPr="00BB4DEC">
        <w:rPr>
          <w:noProof/>
          <w:sz w:val="20"/>
          <w:szCs w:val="20"/>
        </w:rPr>
        <w:drawing>
          <wp:inline distT="0" distB="0" distL="0" distR="0" wp14:anchorId="740C9814" wp14:editId="0F7F0FDA">
            <wp:extent cx="5727700" cy="4359910"/>
            <wp:effectExtent l="0" t="0" r="0" b="0"/>
            <wp:docPr id="129904726" name="Picture 1" descr="A screenshot of a graph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04726" name="Picture 1" descr="A screenshot of a graph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359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E746C1" w14:textId="77777777" w:rsidR="00BB4DEC" w:rsidRPr="00DC2C5C" w:rsidRDefault="00BB4DEC" w:rsidP="00BB4DEC">
      <w:pPr>
        <w:rPr>
          <w:sz w:val="20"/>
          <w:szCs w:val="20"/>
        </w:rPr>
      </w:pPr>
      <w:r w:rsidRPr="00DC2C5C">
        <w:rPr>
          <w:b/>
          <w:bCs/>
          <w:sz w:val="20"/>
          <w:szCs w:val="20"/>
        </w:rPr>
        <w:t>Figure S9.</w:t>
      </w:r>
      <w:r w:rsidRPr="00DC2C5C">
        <w:rPr>
          <w:sz w:val="20"/>
          <w:szCs w:val="20"/>
        </w:rPr>
        <w:t xml:space="preserve">  Comparison of 1-step RT-qPCR reactions carried out targeting human breast cancer RNA using duplex TSG-6/HGF-1 assays with and without a dedicated RT step. </w:t>
      </w:r>
      <w:r w:rsidRPr="00DC2C5C">
        <w:rPr>
          <w:b/>
          <w:bCs/>
          <w:sz w:val="20"/>
          <w:szCs w:val="20"/>
        </w:rPr>
        <w:t>A.</w:t>
      </w:r>
      <w:r w:rsidRPr="00DC2C5C">
        <w:rPr>
          <w:sz w:val="20"/>
          <w:szCs w:val="20"/>
        </w:rPr>
        <w:t xml:space="preserve"> 1-step RT-qPCR protocol (R2) run on a BioRad CFX Connect. </w:t>
      </w:r>
      <w:r w:rsidRPr="00DC2C5C">
        <w:rPr>
          <w:b/>
          <w:bCs/>
          <w:sz w:val="20"/>
          <w:szCs w:val="20"/>
        </w:rPr>
        <w:t>B.</w:t>
      </w:r>
      <w:r w:rsidRPr="00DC2C5C">
        <w:rPr>
          <w:sz w:val="20"/>
          <w:szCs w:val="20"/>
        </w:rPr>
        <w:t xml:space="preserve"> Amplification plots and Cq values for </w:t>
      </w:r>
      <w:proofErr w:type="spellStart"/>
      <w:r w:rsidRPr="00DC2C5C">
        <w:rPr>
          <w:sz w:val="20"/>
          <w:szCs w:val="20"/>
        </w:rPr>
        <w:t>PCRBio</w:t>
      </w:r>
      <w:proofErr w:type="spellEnd"/>
      <w:r w:rsidRPr="00DC2C5C">
        <w:rPr>
          <w:sz w:val="20"/>
          <w:szCs w:val="20"/>
        </w:rPr>
        <w:t xml:space="preserve"> Clara, NEB Luna and B47/ES/</w:t>
      </w:r>
      <w:proofErr w:type="spellStart"/>
      <w:r w:rsidRPr="00DC2C5C">
        <w:rPr>
          <w:sz w:val="20"/>
          <w:szCs w:val="20"/>
        </w:rPr>
        <w:t>MyTaq</w:t>
      </w:r>
      <w:proofErr w:type="spellEnd"/>
      <w:r w:rsidRPr="00DC2C5C">
        <w:rPr>
          <w:sz w:val="20"/>
          <w:szCs w:val="20"/>
        </w:rPr>
        <w:t xml:space="preserve"> 1-step master mixes using the standard protocol</w:t>
      </w:r>
      <w:r w:rsidRPr="00DC2C5C">
        <w:rPr>
          <w:b/>
          <w:bCs/>
          <w:sz w:val="20"/>
          <w:szCs w:val="20"/>
        </w:rPr>
        <w:t>. C.</w:t>
      </w:r>
      <w:r w:rsidRPr="00DC2C5C">
        <w:rPr>
          <w:sz w:val="20"/>
          <w:szCs w:val="20"/>
        </w:rPr>
        <w:t xml:space="preserve"> 1-step RT-qPCR protocol R3 without a dedicated RT step. </w:t>
      </w:r>
      <w:r w:rsidRPr="00DC2C5C">
        <w:rPr>
          <w:b/>
          <w:bCs/>
          <w:sz w:val="20"/>
          <w:szCs w:val="20"/>
        </w:rPr>
        <w:t>D.</w:t>
      </w:r>
      <w:r w:rsidRPr="00DC2C5C">
        <w:rPr>
          <w:sz w:val="20"/>
          <w:szCs w:val="20"/>
        </w:rPr>
        <w:t xml:space="preserve"> Amplification plots and Cq values for </w:t>
      </w:r>
      <w:proofErr w:type="spellStart"/>
      <w:r w:rsidRPr="00DC2C5C">
        <w:rPr>
          <w:sz w:val="20"/>
          <w:szCs w:val="20"/>
        </w:rPr>
        <w:t>PCRBio</w:t>
      </w:r>
      <w:proofErr w:type="spellEnd"/>
      <w:r w:rsidRPr="00DC2C5C">
        <w:rPr>
          <w:sz w:val="20"/>
          <w:szCs w:val="20"/>
        </w:rPr>
        <w:t xml:space="preserve"> Clara, NEB Luna and B47/ES/</w:t>
      </w:r>
      <w:proofErr w:type="spellStart"/>
      <w:r w:rsidRPr="00DC2C5C">
        <w:rPr>
          <w:sz w:val="20"/>
          <w:szCs w:val="20"/>
        </w:rPr>
        <w:t>MyTaq</w:t>
      </w:r>
      <w:proofErr w:type="spellEnd"/>
      <w:r w:rsidRPr="00DC2C5C">
        <w:rPr>
          <w:sz w:val="20"/>
          <w:szCs w:val="20"/>
        </w:rPr>
        <w:t xml:space="preserve"> 1-step master mixes using the modified protocol. </w:t>
      </w:r>
      <w:r w:rsidRPr="00DC2C5C">
        <w:rPr>
          <w:b/>
          <w:bCs/>
          <w:sz w:val="20"/>
          <w:szCs w:val="20"/>
        </w:rPr>
        <w:t>E.</w:t>
      </w:r>
      <w:r w:rsidRPr="00DC2C5C">
        <w:rPr>
          <w:sz w:val="20"/>
          <w:szCs w:val="20"/>
        </w:rPr>
        <w:t xml:space="preserve"> ∆Cq values (±</w:t>
      </w:r>
      <w:r>
        <w:rPr>
          <w:sz w:val="20"/>
          <w:szCs w:val="20"/>
        </w:rPr>
        <w:t>95% CI</w:t>
      </w:r>
      <w:r w:rsidRPr="00DC2C5C">
        <w:rPr>
          <w:sz w:val="20"/>
          <w:szCs w:val="20"/>
        </w:rPr>
        <w:t xml:space="preserve">) of the reactions carried out without </w:t>
      </w:r>
      <w:r>
        <w:rPr>
          <w:sz w:val="20"/>
          <w:szCs w:val="20"/>
        </w:rPr>
        <w:t xml:space="preserve">a dedicated RT step (RT-, </w:t>
      </w:r>
      <w:r w:rsidRPr="00DC2C5C">
        <w:rPr>
          <w:sz w:val="20"/>
          <w:szCs w:val="20"/>
        </w:rPr>
        <w:t>protocol R3</w:t>
      </w:r>
      <w:r>
        <w:rPr>
          <w:sz w:val="20"/>
          <w:szCs w:val="20"/>
        </w:rPr>
        <w:t>)</w:t>
      </w:r>
      <w:r w:rsidRPr="00DC2C5C">
        <w:rPr>
          <w:sz w:val="20"/>
          <w:szCs w:val="20"/>
        </w:rPr>
        <w:t xml:space="preserve"> versus </w:t>
      </w:r>
      <w:r>
        <w:rPr>
          <w:sz w:val="20"/>
          <w:szCs w:val="20"/>
        </w:rPr>
        <w:t xml:space="preserve">those carried out with a dedicated RT step </w:t>
      </w:r>
      <w:r w:rsidRPr="00DC2C5C">
        <w:rPr>
          <w:sz w:val="20"/>
          <w:szCs w:val="20"/>
        </w:rPr>
        <w:t>(RT+</w:t>
      </w:r>
      <w:r>
        <w:rPr>
          <w:sz w:val="20"/>
          <w:szCs w:val="20"/>
        </w:rPr>
        <w:t xml:space="preserve">, </w:t>
      </w:r>
      <w:r w:rsidRPr="00DC2C5C">
        <w:rPr>
          <w:sz w:val="20"/>
          <w:szCs w:val="20"/>
        </w:rPr>
        <w:t>protocol R2).</w:t>
      </w:r>
    </w:p>
    <w:p w14:paraId="3C5B4EB5" w14:textId="77777777" w:rsidR="00BB4DEC" w:rsidRPr="00F26D9E" w:rsidRDefault="00BB4DEC" w:rsidP="008D6C34">
      <w:pPr>
        <w:rPr>
          <w:sz w:val="20"/>
          <w:szCs w:val="20"/>
        </w:rPr>
      </w:pPr>
    </w:p>
    <w:sectPr w:rsidR="00BB4DEC" w:rsidRPr="00F26D9E" w:rsidSect="002324B3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">
    <w:panose1 w:val="00000000000000000000"/>
    <w:charset w:val="4D"/>
    <w:family w:val="auto"/>
    <w:pitch w:val="variable"/>
    <w:sig w:usb0="A00002FF" w:usb1="7800205A" w:usb2="14600000" w:usb3="00000000" w:csb0="00000193" w:csb1="00000000"/>
  </w:font>
  <w:font w:name="Times-Roman">
    <w:altName w:val="Times New Roman"/>
    <w:panose1 w:val="00000500000000020000"/>
    <w:charset w:val="4D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170"/>
  <w:proofState w:spelling="clean" w:grammar="clean"/>
  <w:attachedTemplate r:id="rId1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6C34"/>
    <w:rsid w:val="00016674"/>
    <w:rsid w:val="00112023"/>
    <w:rsid w:val="0011611B"/>
    <w:rsid w:val="00151875"/>
    <w:rsid w:val="001623A2"/>
    <w:rsid w:val="001643F8"/>
    <w:rsid w:val="00164A6B"/>
    <w:rsid w:val="00176EFE"/>
    <w:rsid w:val="001B4760"/>
    <w:rsid w:val="001B540A"/>
    <w:rsid w:val="001B68A2"/>
    <w:rsid w:val="00217ABC"/>
    <w:rsid w:val="00223A81"/>
    <w:rsid w:val="002324B3"/>
    <w:rsid w:val="00233536"/>
    <w:rsid w:val="00233FC1"/>
    <w:rsid w:val="00236C96"/>
    <w:rsid w:val="00252017"/>
    <w:rsid w:val="002544AB"/>
    <w:rsid w:val="00267A0C"/>
    <w:rsid w:val="00296D77"/>
    <w:rsid w:val="002C6B00"/>
    <w:rsid w:val="002E0D1E"/>
    <w:rsid w:val="002F32EB"/>
    <w:rsid w:val="002F5D23"/>
    <w:rsid w:val="0030512E"/>
    <w:rsid w:val="00321D4C"/>
    <w:rsid w:val="003402BE"/>
    <w:rsid w:val="00340A2C"/>
    <w:rsid w:val="00347D84"/>
    <w:rsid w:val="00353E4D"/>
    <w:rsid w:val="00365D8B"/>
    <w:rsid w:val="003C1234"/>
    <w:rsid w:val="00404DB9"/>
    <w:rsid w:val="00451EA9"/>
    <w:rsid w:val="004D4865"/>
    <w:rsid w:val="004F24BB"/>
    <w:rsid w:val="00505ED2"/>
    <w:rsid w:val="00550E85"/>
    <w:rsid w:val="005522C9"/>
    <w:rsid w:val="00577167"/>
    <w:rsid w:val="005864A7"/>
    <w:rsid w:val="005B1A52"/>
    <w:rsid w:val="005E6274"/>
    <w:rsid w:val="0060178C"/>
    <w:rsid w:val="006146EC"/>
    <w:rsid w:val="00620566"/>
    <w:rsid w:val="00672BB8"/>
    <w:rsid w:val="00676E96"/>
    <w:rsid w:val="00691FCF"/>
    <w:rsid w:val="00697D8F"/>
    <w:rsid w:val="006C5D1A"/>
    <w:rsid w:val="006E77EE"/>
    <w:rsid w:val="00705280"/>
    <w:rsid w:val="0070763C"/>
    <w:rsid w:val="007122AC"/>
    <w:rsid w:val="007372C3"/>
    <w:rsid w:val="007633AE"/>
    <w:rsid w:val="007662BB"/>
    <w:rsid w:val="007971E8"/>
    <w:rsid w:val="007D621C"/>
    <w:rsid w:val="00816574"/>
    <w:rsid w:val="008550FF"/>
    <w:rsid w:val="00875800"/>
    <w:rsid w:val="008B250F"/>
    <w:rsid w:val="008D6C34"/>
    <w:rsid w:val="009275EC"/>
    <w:rsid w:val="00937651"/>
    <w:rsid w:val="009A4A64"/>
    <w:rsid w:val="009A5ABF"/>
    <w:rsid w:val="00A46D5C"/>
    <w:rsid w:val="00A7724A"/>
    <w:rsid w:val="00A84E18"/>
    <w:rsid w:val="00AB13E9"/>
    <w:rsid w:val="00AC2AF2"/>
    <w:rsid w:val="00AD2999"/>
    <w:rsid w:val="00AE1244"/>
    <w:rsid w:val="00AF2F1C"/>
    <w:rsid w:val="00B15946"/>
    <w:rsid w:val="00B4773F"/>
    <w:rsid w:val="00B53BAD"/>
    <w:rsid w:val="00BB4DEC"/>
    <w:rsid w:val="00BC26A4"/>
    <w:rsid w:val="00C138E5"/>
    <w:rsid w:val="00C50DE6"/>
    <w:rsid w:val="00C70BEF"/>
    <w:rsid w:val="00C73338"/>
    <w:rsid w:val="00C74D04"/>
    <w:rsid w:val="00CA707F"/>
    <w:rsid w:val="00CE221D"/>
    <w:rsid w:val="00D01BD1"/>
    <w:rsid w:val="00D0657B"/>
    <w:rsid w:val="00D400E3"/>
    <w:rsid w:val="00D463BA"/>
    <w:rsid w:val="00D715AD"/>
    <w:rsid w:val="00D93A3F"/>
    <w:rsid w:val="00DF4DE8"/>
    <w:rsid w:val="00E16E85"/>
    <w:rsid w:val="00E2619D"/>
    <w:rsid w:val="00E45E28"/>
    <w:rsid w:val="00EA0B70"/>
    <w:rsid w:val="00ED768A"/>
    <w:rsid w:val="00F00F5A"/>
    <w:rsid w:val="00F02C9D"/>
    <w:rsid w:val="00F07394"/>
    <w:rsid w:val="00F26D9E"/>
    <w:rsid w:val="00F270FD"/>
    <w:rsid w:val="00F60530"/>
    <w:rsid w:val="00F83F7F"/>
    <w:rsid w:val="00FC0FB1"/>
    <w:rsid w:val="00FF3F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6E3104B4"/>
  <w15:chartTrackingRefBased/>
  <w15:docId w15:val="{6DB7B2A3-2DEC-D04D-847E-449B00FA12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Garamond" w:eastAsiaTheme="minorHAnsi" w:hAnsi="Garamond" w:cs="Times New Roman (Body CS)"/>
        <w:sz w:val="24"/>
        <w:szCs w:val="24"/>
        <w:lang w:val="en-GB" w:eastAsia="en-US" w:bidi="ar-SA"/>
      </w:rPr>
    </w:rPrDefault>
    <w:pPrDefault>
      <w:pPr>
        <w:spacing w:before="120" w:after="12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623A2"/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623A2"/>
    <w:pPr>
      <w:keepNext/>
      <w:keepLines/>
      <w:spacing w:before="240" w:after="0"/>
      <w:outlineLvl w:val="0"/>
    </w:pPr>
    <w:rPr>
      <w:rFonts w:ascii="Lucida Bright" w:eastAsiaTheme="majorEastAsia" w:hAnsi="Lucida Bright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1623A2"/>
    <w:pPr>
      <w:keepNext/>
      <w:keepLines/>
      <w:spacing w:before="40" w:after="0"/>
      <w:outlineLvl w:val="1"/>
    </w:pPr>
    <w:rPr>
      <w:rFonts w:ascii="Lucida Bright" w:eastAsiaTheme="majorEastAsia" w:hAnsi="Lucida Bright" w:cstheme="majorBidi"/>
      <w:color w:val="000000" w:themeColor="tex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1623A2"/>
    <w:pPr>
      <w:spacing w:before="0" w:after="0"/>
    </w:pPr>
    <w:rPr>
      <w:rFonts w:ascii="Palatino" w:hAnsi="Palatino"/>
    </w:rPr>
  </w:style>
  <w:style w:type="character" w:customStyle="1" w:styleId="Heading1Char">
    <w:name w:val="Heading 1 Char"/>
    <w:basedOn w:val="DefaultParagraphFont"/>
    <w:link w:val="Heading1"/>
    <w:uiPriority w:val="9"/>
    <w:rsid w:val="001623A2"/>
    <w:rPr>
      <w:rFonts w:ascii="Lucida Bright" w:eastAsiaTheme="majorEastAsia" w:hAnsi="Lucida Bright" w:cstheme="majorBidi"/>
      <w:color w:val="000000" w:themeColor="text1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623A2"/>
    <w:rPr>
      <w:rFonts w:ascii="Lucida Bright" w:eastAsiaTheme="majorEastAsia" w:hAnsi="Lucida Bright" w:cstheme="majorBidi"/>
      <w:color w:val="000000" w:themeColor="text1"/>
      <w:sz w:val="26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1623A2"/>
    <w:pPr>
      <w:spacing w:before="0" w:after="0"/>
      <w:contextualSpacing/>
    </w:pPr>
    <w:rPr>
      <w:rFonts w:ascii="Lucida Bright" w:eastAsiaTheme="majorEastAsia" w:hAnsi="Lucida Bright" w:cstheme="majorBidi"/>
      <w:spacing w:val="-10"/>
      <w:kern w:val="28"/>
      <w:sz w:val="28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623A2"/>
    <w:rPr>
      <w:rFonts w:ascii="Lucida Bright" w:eastAsiaTheme="majorEastAsia" w:hAnsi="Lucida Bright" w:cstheme="majorBidi"/>
      <w:spacing w:val="-10"/>
      <w:kern w:val="28"/>
      <w:sz w:val="28"/>
      <w:szCs w:val="56"/>
    </w:rPr>
  </w:style>
  <w:style w:type="paragraph" w:styleId="Subtitle">
    <w:name w:val="Subtitle"/>
    <w:basedOn w:val="Normal"/>
    <w:next w:val="Normal"/>
    <w:link w:val="SubtitleChar"/>
    <w:autoRedefine/>
    <w:uiPriority w:val="11"/>
    <w:qFormat/>
    <w:rsid w:val="001623A2"/>
    <w:pPr>
      <w:numPr>
        <w:ilvl w:val="1"/>
      </w:numPr>
      <w:spacing w:after="160"/>
    </w:pPr>
    <w:rPr>
      <w:rFonts w:eastAsiaTheme="minorEastAsia" w:cstheme="minorBidi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1623A2"/>
    <w:rPr>
      <w:rFonts w:ascii="Palatino" w:eastAsiaTheme="minorEastAsia" w:hAnsi="Palatino" w:cstheme="minorBidi"/>
      <w:color w:val="5A5A5A" w:themeColor="text1" w:themeTint="A5"/>
      <w:spacing w:val="15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1623A2"/>
    <w:rPr>
      <w:rFonts w:ascii="Palatino" w:hAnsi="Palatino"/>
      <w:i/>
      <w:iCs/>
      <w:color w:val="404040" w:themeColor="text1" w:themeTint="BF"/>
    </w:rPr>
  </w:style>
  <w:style w:type="paragraph" w:styleId="NormalWeb">
    <w:name w:val="Normal (Web)"/>
    <w:basedOn w:val="Normal"/>
    <w:uiPriority w:val="99"/>
    <w:semiHidden/>
    <w:unhideWhenUsed/>
    <w:rsid w:val="00F83F7F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738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2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63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208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669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74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3858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stephenbustin/Library/Group%20Containers/UBF8T346G9.Office/User%20Content.localized/Templates.localized/Norm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Normal.dotx</Template>
  <TotalTime>5</TotalTime>
  <Pages>9</Pages>
  <Words>861</Words>
  <Characters>4908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Stephen Bustin</dc:creator>
  <cp:keywords/>
  <dc:description/>
  <cp:lastModifiedBy>Stephen Bustin</cp:lastModifiedBy>
  <cp:revision>5</cp:revision>
  <cp:lastPrinted>2024-01-10T10:59:00Z</cp:lastPrinted>
  <dcterms:created xsi:type="dcterms:W3CDTF">2024-01-09T16:29:00Z</dcterms:created>
  <dcterms:modified xsi:type="dcterms:W3CDTF">2024-01-10T10:59:00Z</dcterms:modified>
</cp:coreProperties>
</file>