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7BCC" w:rsidRPr="001F7BCC" w:rsidRDefault="003A07C5" w:rsidP="001F7BCC">
      <w:pPr>
        <w:rPr>
          <w:rFonts w:ascii="Cambria" w:hAnsi="Cambria"/>
          <w:b/>
          <w:lang w:val="en-US"/>
        </w:rPr>
      </w:pPr>
      <w:r w:rsidRPr="00440A97">
        <w:rPr>
          <w:rFonts w:ascii="Cambria" w:hAnsi="Cambria"/>
          <w:b/>
          <w:lang w:val="en-US"/>
        </w:rPr>
        <w:t xml:space="preserve">SUPPLEMENTARY </w:t>
      </w:r>
      <w:proofErr w:type="gramStart"/>
      <w:r w:rsidRPr="00440A97">
        <w:rPr>
          <w:rFonts w:ascii="Cambria" w:hAnsi="Cambria"/>
          <w:b/>
          <w:lang w:val="en-US"/>
        </w:rPr>
        <w:t>RESULTS</w:t>
      </w:r>
      <w:r w:rsidR="001F7BCC">
        <w:rPr>
          <w:rFonts w:ascii="Cambria" w:hAnsi="Cambria"/>
          <w:b/>
          <w:lang w:val="en-US"/>
        </w:rPr>
        <w:t xml:space="preserve"> :</w:t>
      </w:r>
      <w:proofErr w:type="gramEnd"/>
      <w:r w:rsidR="001F7BCC">
        <w:rPr>
          <w:rFonts w:ascii="Cambria" w:hAnsi="Cambria"/>
          <w:b/>
          <w:lang w:val="en-US"/>
        </w:rPr>
        <w:t xml:space="preserve"> </w:t>
      </w:r>
      <w:r w:rsidR="001F7BCC" w:rsidRPr="001F7BCC">
        <w:rPr>
          <w:rFonts w:ascii="Cambria" w:hAnsi="Cambria"/>
          <w:b/>
          <w:lang w:val="en-US"/>
        </w:rPr>
        <w:t>S</w:t>
      </w:r>
      <w:r w:rsidR="001F7BCC" w:rsidRPr="001F7BCC">
        <w:rPr>
          <w:rFonts w:ascii="Cambria" w:hAnsi="Cambria"/>
          <w:b/>
          <w:snapToGrid w:val="0"/>
          <w:lang w:val="en-US"/>
        </w:rPr>
        <w:t>ensitivity</w:t>
      </w:r>
      <w:r w:rsidR="001F7BCC" w:rsidRPr="001F7BCC">
        <w:rPr>
          <w:rFonts w:ascii="Cambria" w:hAnsi="Cambria"/>
          <w:b/>
          <w:lang w:val="en-US"/>
        </w:rPr>
        <w:t xml:space="preserve"> to </w:t>
      </w:r>
      <w:proofErr w:type="spellStart"/>
      <w:r w:rsidR="001F7BCC" w:rsidRPr="001F7BCC">
        <w:rPr>
          <w:rFonts w:ascii="Cambria" w:hAnsi="Cambria"/>
          <w:b/>
          <w:snapToGrid w:val="0"/>
          <w:lang w:val="en-US"/>
        </w:rPr>
        <w:t>Regorafenib</w:t>
      </w:r>
      <w:proofErr w:type="spellEnd"/>
      <w:r w:rsidR="001F7BCC" w:rsidRPr="001F7BCC">
        <w:rPr>
          <w:rFonts w:ascii="Cambria" w:hAnsi="Cambria"/>
          <w:b/>
          <w:snapToGrid w:val="0"/>
          <w:lang w:val="en-US"/>
        </w:rPr>
        <w:t xml:space="preserve"> in 2D and 3D commercial cell lines.</w:t>
      </w:r>
    </w:p>
    <w:p w:rsidR="001F7BCC" w:rsidRPr="00440A97" w:rsidRDefault="001F7BCC">
      <w:pPr>
        <w:rPr>
          <w:rFonts w:ascii="Cambria" w:hAnsi="Cambria"/>
          <w:b/>
          <w:lang w:val="en-US"/>
        </w:rPr>
      </w:pPr>
    </w:p>
    <w:p w:rsidR="003A07C5" w:rsidRPr="001F7BCC" w:rsidRDefault="003A07C5" w:rsidP="001F7BCC">
      <w:pPr>
        <w:pStyle w:val="Paragrafoelenco"/>
        <w:numPr>
          <w:ilvl w:val="0"/>
          <w:numId w:val="1"/>
        </w:numPr>
        <w:autoSpaceDE w:val="0"/>
        <w:autoSpaceDN w:val="0"/>
        <w:adjustRightInd w:val="0"/>
        <w:spacing w:line="276" w:lineRule="auto"/>
        <w:rPr>
          <w:rFonts w:ascii="Cambria" w:hAnsi="Cambria" w:cs="AdvTTd3a5f740"/>
          <w:b/>
          <w:bCs/>
          <w:color w:val="000000"/>
          <w:lang w:val="en-US"/>
        </w:rPr>
      </w:pPr>
      <w:r w:rsidRPr="001F7BCC">
        <w:rPr>
          <w:rFonts w:ascii="Cambria" w:hAnsi="Cambria" w:cs="AdvTTd3a5f740"/>
          <w:b/>
          <w:bCs/>
          <w:color w:val="000000"/>
          <w:lang w:val="en-US"/>
        </w:rPr>
        <w:t xml:space="preserve">Analysis of </w:t>
      </w:r>
      <w:proofErr w:type="spellStart"/>
      <w:r w:rsidRPr="001F7BCC">
        <w:rPr>
          <w:rFonts w:ascii="Cambria" w:hAnsi="Cambria" w:cs="AdvTTd3a5f740"/>
          <w:b/>
          <w:bCs/>
          <w:color w:val="000000"/>
          <w:lang w:val="en-US"/>
        </w:rPr>
        <w:t>Regorafenib</w:t>
      </w:r>
      <w:proofErr w:type="spellEnd"/>
      <w:r w:rsidRPr="001F7BCC">
        <w:rPr>
          <w:rFonts w:ascii="Cambria" w:hAnsi="Cambria" w:cs="AdvTTd3a5f740"/>
          <w:b/>
          <w:bCs/>
          <w:color w:val="000000"/>
          <w:lang w:val="en-US"/>
        </w:rPr>
        <w:t xml:space="preserve"> efficacy in 2D and 3D GB cell lines </w:t>
      </w:r>
    </w:p>
    <w:p w:rsidR="003A07C5" w:rsidRPr="003A07C5" w:rsidRDefault="003A07C5" w:rsidP="003A07C5">
      <w:pPr>
        <w:autoSpaceDE w:val="0"/>
        <w:autoSpaceDN w:val="0"/>
        <w:adjustRightInd w:val="0"/>
        <w:spacing w:line="276" w:lineRule="auto"/>
        <w:jc w:val="both"/>
        <w:rPr>
          <w:rFonts w:ascii="Cambria" w:hAnsi="Cambria" w:cs="AdvOT1ef757c0"/>
          <w:color w:val="000000"/>
          <w:lang w:val="en-US"/>
        </w:rPr>
      </w:pPr>
      <w:r w:rsidRPr="003A07C5">
        <w:rPr>
          <w:rFonts w:ascii="Cambria" w:hAnsi="Cambria" w:cs="AdvOT1ef757c0"/>
          <w:color w:val="000000"/>
          <w:lang w:val="en-US"/>
        </w:rPr>
        <w:t xml:space="preserve">Before using GB patients-derived organoids, we tested </w:t>
      </w:r>
      <w:proofErr w:type="spellStart"/>
      <w:r w:rsidRPr="003A07C5">
        <w:rPr>
          <w:rFonts w:ascii="Cambria" w:hAnsi="Cambria" w:cs="AdvOT1ef757c0"/>
          <w:color w:val="000000"/>
          <w:lang w:val="en-US"/>
        </w:rPr>
        <w:t>Regorafenib</w:t>
      </w:r>
      <w:proofErr w:type="spellEnd"/>
      <w:r w:rsidRPr="003A07C5">
        <w:rPr>
          <w:rFonts w:ascii="Cambria" w:hAnsi="Cambria" w:cs="AdvOT1ef757c0"/>
          <w:color w:val="000000"/>
          <w:lang w:val="en-US"/>
        </w:rPr>
        <w:t xml:space="preserve"> (REGO) in U118, U87 and T98G glioblastoma cell lines 2D and 3D models, firstly using standard viability and proliferation analysis methods and then FLIM </w:t>
      </w:r>
      <w:r w:rsidRPr="003A07C5">
        <w:rPr>
          <w:rFonts w:ascii="Cambria" w:hAnsi="Cambria" w:cs="AdvTTd3a5f740"/>
          <w:color w:val="000000"/>
          <w:lang w:val="en-US"/>
        </w:rPr>
        <w:t>metabolic-imaging approach.</w:t>
      </w:r>
    </w:p>
    <w:p w:rsidR="003A07C5" w:rsidRPr="003A07C5" w:rsidRDefault="003A07C5" w:rsidP="003A07C5">
      <w:pPr>
        <w:autoSpaceDE w:val="0"/>
        <w:autoSpaceDN w:val="0"/>
        <w:adjustRightInd w:val="0"/>
        <w:spacing w:line="276" w:lineRule="auto"/>
        <w:jc w:val="both"/>
        <w:rPr>
          <w:rFonts w:ascii="Cambria" w:hAnsi="Cambria" w:cs="AdvOT1ef757c0"/>
          <w:color w:val="000000"/>
          <w:lang w:val="en-US"/>
        </w:rPr>
      </w:pPr>
      <w:r w:rsidRPr="003A07C5">
        <w:rPr>
          <w:rFonts w:ascii="Cambria" w:hAnsi="Cambria" w:cs="AdvOT1ef757c0"/>
          <w:color w:val="000000"/>
          <w:lang w:val="en-US"/>
        </w:rPr>
        <w:t xml:space="preserve">Figures </w:t>
      </w:r>
      <w:r w:rsidR="00691EAE">
        <w:rPr>
          <w:rFonts w:ascii="Cambria" w:hAnsi="Cambria" w:cs="AdvOT1ef757c0"/>
          <w:color w:val="000000"/>
          <w:lang w:val="en-US"/>
        </w:rPr>
        <w:t>S</w:t>
      </w:r>
      <w:r w:rsidRPr="003A07C5">
        <w:rPr>
          <w:rFonts w:ascii="Cambria" w:hAnsi="Cambria" w:cs="AdvOT1ef757c0"/>
          <w:color w:val="000000"/>
          <w:lang w:val="en-US"/>
        </w:rPr>
        <w:t xml:space="preserve">1a and </w:t>
      </w:r>
      <w:r w:rsidR="00691EAE">
        <w:rPr>
          <w:rFonts w:ascii="Cambria" w:hAnsi="Cambria" w:cs="AdvOT1ef757c0"/>
          <w:color w:val="000000"/>
          <w:lang w:val="en-US"/>
        </w:rPr>
        <w:t>S</w:t>
      </w:r>
      <w:r w:rsidRPr="003A07C5">
        <w:rPr>
          <w:rFonts w:ascii="Cambria" w:hAnsi="Cambria" w:cs="AdvOT1ef757c0"/>
          <w:color w:val="000000"/>
          <w:lang w:val="en-US"/>
        </w:rPr>
        <w:t xml:space="preserve">1b show the viability assay performed in 2D and 3D cell lines 72 h post-treatment with 10 µM, 50µM and 100µM of REGO. All cells showed a percentage of viability less than 50% with dosages higher than 50 µM of REGO. </w:t>
      </w:r>
    </w:p>
    <w:p w:rsidR="003A07C5" w:rsidRPr="003A07C5" w:rsidRDefault="003A07C5" w:rsidP="003A07C5">
      <w:pPr>
        <w:autoSpaceDE w:val="0"/>
        <w:autoSpaceDN w:val="0"/>
        <w:adjustRightInd w:val="0"/>
        <w:spacing w:line="276" w:lineRule="auto"/>
        <w:jc w:val="both"/>
        <w:rPr>
          <w:rFonts w:ascii="Cambria" w:hAnsi="Cambria" w:cs="AdvOT1ef757c0"/>
          <w:color w:val="000000"/>
          <w:lang w:val="en-US"/>
        </w:rPr>
      </w:pPr>
      <w:r w:rsidRPr="003A07C5">
        <w:rPr>
          <w:rFonts w:ascii="Cambria" w:hAnsi="Cambria" w:cs="AdvOT1ef757c0"/>
          <w:color w:val="000000"/>
          <w:lang w:val="en-US"/>
        </w:rPr>
        <w:t xml:space="preserve">As an indicator of cell proliferation, we also measured the Ki67 mRNA level at 72 h in REGO-treated 3D cell lines model by </w:t>
      </w:r>
      <w:proofErr w:type="spellStart"/>
      <w:r w:rsidRPr="003A07C5">
        <w:rPr>
          <w:rFonts w:ascii="Cambria" w:hAnsi="Cambria" w:cs="AdvOT1ef757c0"/>
          <w:color w:val="000000"/>
          <w:lang w:val="en-US"/>
        </w:rPr>
        <w:t>ddPCR</w:t>
      </w:r>
      <w:proofErr w:type="spellEnd"/>
      <w:r w:rsidRPr="003A07C5">
        <w:rPr>
          <w:rFonts w:ascii="Cambria" w:hAnsi="Cambria" w:cs="AdvOT1ef757c0"/>
          <w:color w:val="000000"/>
          <w:lang w:val="en-US"/>
        </w:rPr>
        <w:t xml:space="preserve">: the expression of Ki67 was reduced by about 50% using 50 µM of REGO treatment (Fig. </w:t>
      </w:r>
      <w:r w:rsidR="00691EAE">
        <w:rPr>
          <w:rFonts w:ascii="Cambria" w:hAnsi="Cambria" w:cs="AdvOT1ef757c0"/>
          <w:color w:val="000000"/>
          <w:lang w:val="en-US"/>
        </w:rPr>
        <w:t>S</w:t>
      </w:r>
      <w:r w:rsidRPr="003A07C5">
        <w:rPr>
          <w:rFonts w:ascii="Cambria" w:hAnsi="Cambria" w:cs="AdvOT1ef757c0"/>
          <w:color w:val="000000"/>
          <w:lang w:val="en-US"/>
        </w:rPr>
        <w:t>1c) for all the 3 cell lines used.</w:t>
      </w:r>
    </w:p>
    <w:p w:rsidR="003A07C5" w:rsidRPr="003A07C5" w:rsidRDefault="003A07C5" w:rsidP="003A07C5">
      <w:pPr>
        <w:autoSpaceDE w:val="0"/>
        <w:autoSpaceDN w:val="0"/>
        <w:adjustRightInd w:val="0"/>
        <w:spacing w:line="276" w:lineRule="auto"/>
        <w:jc w:val="both"/>
        <w:rPr>
          <w:rFonts w:ascii="Cambria" w:hAnsi="Cambria" w:cs="AdvOT1ef757c0"/>
          <w:color w:val="000000"/>
          <w:lang w:val="en-US"/>
        </w:rPr>
      </w:pPr>
      <w:r w:rsidRPr="003A07C5">
        <w:rPr>
          <w:rFonts w:ascii="Cambria" w:hAnsi="Cambria" w:cs="AdvOT1ef757c0"/>
          <w:color w:val="000000"/>
          <w:lang w:val="en-US"/>
        </w:rPr>
        <w:t>H&amp;E and Ki67 immunohistochemistry of 3D cell lines model confirmed a visible reduction in nuclei % and in Ki67 protein expression in 100 µM REGO treated cells (Fig.</w:t>
      </w:r>
      <w:r w:rsidR="00691EAE">
        <w:rPr>
          <w:rFonts w:ascii="Cambria" w:hAnsi="Cambria" w:cs="AdvOT1ef757c0"/>
          <w:color w:val="000000"/>
          <w:lang w:val="en-US"/>
        </w:rPr>
        <w:t>S</w:t>
      </w:r>
      <w:r w:rsidRPr="003A07C5">
        <w:rPr>
          <w:rFonts w:ascii="Cambria" w:hAnsi="Cambria" w:cs="AdvOT1ef757c0"/>
          <w:color w:val="000000"/>
          <w:lang w:val="en-US"/>
        </w:rPr>
        <w:t>1d).</w:t>
      </w:r>
    </w:p>
    <w:p w:rsidR="003A07C5" w:rsidRPr="003A07C5" w:rsidRDefault="003A07C5" w:rsidP="003A07C5">
      <w:pPr>
        <w:autoSpaceDE w:val="0"/>
        <w:autoSpaceDN w:val="0"/>
        <w:adjustRightInd w:val="0"/>
        <w:spacing w:line="276" w:lineRule="auto"/>
        <w:jc w:val="both"/>
        <w:rPr>
          <w:rFonts w:ascii="Cambria" w:hAnsi="Cambria" w:cs="AdvOT1ef757c0"/>
          <w:color w:val="000000"/>
          <w:lang w:val="en-US"/>
        </w:rPr>
      </w:pPr>
    </w:p>
    <w:p w:rsidR="003A07C5" w:rsidRPr="003A07C5" w:rsidRDefault="003A07C5" w:rsidP="003A07C5">
      <w:pPr>
        <w:autoSpaceDE w:val="0"/>
        <w:autoSpaceDN w:val="0"/>
        <w:adjustRightInd w:val="0"/>
        <w:spacing w:line="276" w:lineRule="auto"/>
        <w:jc w:val="both"/>
        <w:rPr>
          <w:rFonts w:ascii="Cambria" w:hAnsi="Cambria" w:cs="AdvOT1ef757c0"/>
          <w:i/>
          <w:iCs/>
          <w:color w:val="000000"/>
          <w:lang w:val="en-US"/>
        </w:rPr>
      </w:pPr>
      <w:r>
        <w:rPr>
          <w:rFonts w:ascii="Cambria" w:hAnsi="Cambria" w:cs="AdvOT1ef757c0"/>
          <w:b/>
          <w:bCs/>
          <w:i/>
          <w:iCs/>
          <w:color w:val="000000"/>
          <w:lang w:val="en-US"/>
        </w:rPr>
        <w:t>Figure</w:t>
      </w:r>
      <w:r w:rsidR="006C2C7F">
        <w:rPr>
          <w:rFonts w:ascii="Cambria" w:hAnsi="Cambria" w:cs="AdvOT1ef757c0"/>
          <w:b/>
          <w:bCs/>
          <w:i/>
          <w:iCs/>
          <w:color w:val="000000"/>
          <w:lang w:val="en-US"/>
        </w:rPr>
        <w:t xml:space="preserve"> S1</w:t>
      </w:r>
      <w:r w:rsidRPr="003A07C5">
        <w:rPr>
          <w:rFonts w:ascii="Cambria" w:hAnsi="Cambria" w:cs="AdvOT1ef757c0"/>
          <w:i/>
          <w:iCs/>
          <w:color w:val="000000"/>
          <w:lang w:val="en-US"/>
        </w:rPr>
        <w:t xml:space="preserve"> </w:t>
      </w:r>
      <w:r w:rsidRPr="003A07C5">
        <w:rPr>
          <w:rFonts w:ascii="Cambria" w:hAnsi="Cambria" w:cs="AdvOT1ef757c0"/>
          <w:b/>
          <w:bCs/>
          <w:i/>
          <w:iCs/>
          <w:color w:val="000000"/>
          <w:lang w:val="en-US"/>
        </w:rPr>
        <w:t xml:space="preserve">Viability and proliferation effects of </w:t>
      </w:r>
      <w:proofErr w:type="spellStart"/>
      <w:r w:rsidRPr="003A07C5">
        <w:rPr>
          <w:rFonts w:ascii="Cambria" w:hAnsi="Cambria" w:cs="AdvOT1ef757c0"/>
          <w:b/>
          <w:bCs/>
          <w:i/>
          <w:iCs/>
          <w:color w:val="000000"/>
          <w:lang w:val="en-US"/>
        </w:rPr>
        <w:t>Regorafenib</w:t>
      </w:r>
      <w:proofErr w:type="spellEnd"/>
      <w:r w:rsidRPr="003A07C5">
        <w:rPr>
          <w:rFonts w:ascii="Cambria" w:hAnsi="Cambria" w:cs="AdvOT1ef757c0"/>
          <w:b/>
          <w:bCs/>
          <w:i/>
          <w:iCs/>
          <w:color w:val="000000"/>
          <w:lang w:val="en-US"/>
        </w:rPr>
        <w:t xml:space="preserve"> on 2D and 3D cell lines models, T98G, U87 and U118.</w:t>
      </w:r>
      <w:r w:rsidRPr="003A07C5">
        <w:rPr>
          <w:rFonts w:ascii="Cambria" w:hAnsi="Cambria" w:cs="AdvOT1ef757c0"/>
          <w:i/>
          <w:iCs/>
          <w:color w:val="000000"/>
          <w:lang w:val="en-US"/>
        </w:rPr>
        <w:t xml:space="preserve"> </w:t>
      </w:r>
    </w:p>
    <w:p w:rsidR="003A07C5" w:rsidRPr="003A07C5" w:rsidRDefault="003A07C5" w:rsidP="003A07C5">
      <w:pPr>
        <w:autoSpaceDE w:val="0"/>
        <w:autoSpaceDN w:val="0"/>
        <w:adjustRightInd w:val="0"/>
        <w:spacing w:line="276" w:lineRule="auto"/>
        <w:jc w:val="both"/>
        <w:rPr>
          <w:rFonts w:ascii="Cambria" w:hAnsi="Cambria"/>
          <w:i/>
          <w:iCs/>
          <w:lang w:val="en-US"/>
        </w:rPr>
      </w:pPr>
      <w:r w:rsidRPr="003A07C5">
        <w:rPr>
          <w:rFonts w:ascii="Cambria" w:hAnsi="Cambria" w:cs="AdvOT1ef757c0"/>
          <w:b/>
          <w:bCs/>
          <w:i/>
          <w:iCs/>
          <w:color w:val="000000"/>
          <w:lang w:val="en-US"/>
        </w:rPr>
        <w:t>a-b</w:t>
      </w:r>
      <w:r w:rsidRPr="003A07C5">
        <w:rPr>
          <w:rFonts w:ascii="Cambria" w:hAnsi="Cambria" w:cs="AdvOT1ef757c0"/>
          <w:i/>
          <w:iCs/>
          <w:color w:val="000000"/>
          <w:lang w:val="en-US"/>
        </w:rPr>
        <w:t xml:space="preserve"> Cell viability performed on 2D cell lines (a) using WST1 assay and on 3D spheres (b) using </w:t>
      </w:r>
      <w:proofErr w:type="spellStart"/>
      <w:r w:rsidRPr="003A07C5">
        <w:rPr>
          <w:rFonts w:ascii="Cambria" w:hAnsi="Cambria" w:cs="AdvOT1ef757c0"/>
          <w:i/>
          <w:iCs/>
          <w:color w:val="000000"/>
          <w:lang w:val="en-US"/>
        </w:rPr>
        <w:t>CellTiterGlo</w:t>
      </w:r>
      <w:proofErr w:type="spellEnd"/>
      <w:r w:rsidRPr="003A07C5">
        <w:rPr>
          <w:rFonts w:ascii="Cambria" w:hAnsi="Cambria" w:cs="AdvOT1ef757c0"/>
          <w:i/>
          <w:iCs/>
          <w:color w:val="000000"/>
          <w:lang w:val="en-US"/>
        </w:rPr>
        <w:t xml:space="preserve"> assay. </w:t>
      </w:r>
      <w:r w:rsidRPr="003A07C5">
        <w:rPr>
          <w:rFonts w:ascii="Cambria" w:hAnsi="Cambria" w:cs="AdvOT1ef757c0"/>
          <w:b/>
          <w:bCs/>
          <w:i/>
          <w:iCs/>
          <w:color w:val="000000"/>
          <w:lang w:val="en-US"/>
        </w:rPr>
        <w:t>c</w:t>
      </w:r>
      <w:r w:rsidRPr="003A07C5">
        <w:rPr>
          <w:rFonts w:ascii="Cambria" w:hAnsi="Cambria" w:cs="AdvOT1ef757c0"/>
          <w:i/>
          <w:iCs/>
          <w:color w:val="000000"/>
          <w:lang w:val="en-US"/>
        </w:rPr>
        <w:t xml:space="preserve"> Ki76 mRNA expression level analysis using </w:t>
      </w:r>
      <w:proofErr w:type="spellStart"/>
      <w:r w:rsidRPr="003A07C5">
        <w:rPr>
          <w:rFonts w:ascii="Cambria" w:hAnsi="Cambria" w:cs="AdvOT1ef757c0"/>
          <w:i/>
          <w:iCs/>
          <w:color w:val="000000"/>
          <w:lang w:val="en-US"/>
        </w:rPr>
        <w:t>ddPCR</w:t>
      </w:r>
      <w:proofErr w:type="spellEnd"/>
      <w:r w:rsidRPr="003A07C5">
        <w:rPr>
          <w:rFonts w:ascii="Cambria" w:hAnsi="Cambria" w:cs="AdvOT1ef757c0"/>
          <w:i/>
          <w:iCs/>
          <w:color w:val="000000"/>
          <w:lang w:val="en-US"/>
        </w:rPr>
        <w:t xml:space="preserve"> in 3D cell lines model. </w:t>
      </w:r>
      <w:r w:rsidRPr="003A07C5">
        <w:rPr>
          <w:rFonts w:ascii="Cambria" w:hAnsi="Cambria" w:cs="AdvOT1ef757c0"/>
          <w:b/>
          <w:bCs/>
          <w:i/>
          <w:iCs/>
          <w:color w:val="000000"/>
          <w:lang w:val="en-US"/>
        </w:rPr>
        <w:t>d-e</w:t>
      </w:r>
      <w:r w:rsidRPr="003A07C5">
        <w:rPr>
          <w:rFonts w:ascii="Cambria" w:hAnsi="Cambria" w:cs="AdvOT1ef757c0"/>
          <w:i/>
          <w:iCs/>
          <w:color w:val="000000"/>
          <w:lang w:val="en-US"/>
        </w:rPr>
        <w:t xml:space="preserve"> Hematoxylin and Eosin staining (d) and Ki67 immunohistochemistry (e) in T98G-3D spheres. All </w:t>
      </w:r>
      <w:proofErr w:type="spellStart"/>
      <w:r w:rsidRPr="003A07C5">
        <w:rPr>
          <w:rFonts w:ascii="Cambria" w:hAnsi="Cambria" w:cs="AdvOT1ef757c0"/>
          <w:i/>
          <w:iCs/>
          <w:color w:val="000000"/>
          <w:lang w:val="en-US"/>
        </w:rPr>
        <w:t>Rego</w:t>
      </w:r>
      <w:proofErr w:type="spellEnd"/>
      <w:r w:rsidRPr="003A07C5">
        <w:rPr>
          <w:rFonts w:ascii="Cambria" w:hAnsi="Cambria" w:cs="AdvOT1ef757c0"/>
          <w:i/>
          <w:iCs/>
          <w:color w:val="000000"/>
          <w:lang w:val="en-US"/>
        </w:rPr>
        <w:t xml:space="preserve"> treatments were conducted for 72hrs.</w:t>
      </w:r>
    </w:p>
    <w:p w:rsidR="003A07C5" w:rsidRPr="003A07C5" w:rsidRDefault="003A07C5" w:rsidP="003A07C5">
      <w:pPr>
        <w:autoSpaceDE w:val="0"/>
        <w:autoSpaceDN w:val="0"/>
        <w:adjustRightInd w:val="0"/>
        <w:spacing w:line="276" w:lineRule="auto"/>
        <w:rPr>
          <w:rFonts w:ascii="Cambria" w:hAnsi="Cambria" w:cs="AdvTTd3a5f740"/>
          <w:b/>
          <w:bCs/>
          <w:color w:val="000000"/>
          <w:lang w:val="en-US"/>
        </w:rPr>
      </w:pPr>
    </w:p>
    <w:p w:rsidR="003A07C5" w:rsidRPr="001F7BCC" w:rsidRDefault="003A07C5" w:rsidP="001F7BCC">
      <w:pPr>
        <w:pStyle w:val="Paragrafoelenco"/>
        <w:numPr>
          <w:ilvl w:val="0"/>
          <w:numId w:val="1"/>
        </w:numPr>
        <w:autoSpaceDE w:val="0"/>
        <w:autoSpaceDN w:val="0"/>
        <w:adjustRightInd w:val="0"/>
        <w:spacing w:line="276" w:lineRule="auto"/>
        <w:rPr>
          <w:rFonts w:ascii="Cambria" w:hAnsi="Cambria" w:cs="AdvTTd3a5f740"/>
          <w:b/>
          <w:bCs/>
          <w:color w:val="000000"/>
          <w:lang w:val="en-US"/>
        </w:rPr>
      </w:pPr>
      <w:bookmarkStart w:id="0" w:name="_GoBack"/>
      <w:bookmarkEnd w:id="0"/>
      <w:r w:rsidRPr="001F7BCC">
        <w:rPr>
          <w:rFonts w:ascii="Cambria" w:hAnsi="Cambria" w:cs="AdvTTd3a5f740"/>
          <w:b/>
          <w:bCs/>
          <w:color w:val="000000"/>
          <w:lang w:val="en-US"/>
        </w:rPr>
        <w:t xml:space="preserve">FLIM metabolic imaging to test </w:t>
      </w:r>
      <w:proofErr w:type="spellStart"/>
      <w:r w:rsidRPr="001F7BCC">
        <w:rPr>
          <w:rFonts w:ascii="Cambria" w:hAnsi="Cambria" w:cs="AdvTTd3a5f740"/>
          <w:b/>
          <w:bCs/>
          <w:color w:val="000000"/>
          <w:lang w:val="en-US"/>
        </w:rPr>
        <w:t>Regorafenib</w:t>
      </w:r>
      <w:proofErr w:type="spellEnd"/>
      <w:r w:rsidRPr="001F7BCC">
        <w:rPr>
          <w:rFonts w:ascii="Cambria" w:hAnsi="Cambria" w:cs="AdvTTd3a5f740"/>
          <w:b/>
          <w:bCs/>
          <w:color w:val="000000"/>
          <w:lang w:val="en-US"/>
        </w:rPr>
        <w:t xml:space="preserve"> sensitivity in 3D GB cell lines</w:t>
      </w:r>
    </w:p>
    <w:p w:rsidR="003A07C5" w:rsidRDefault="003A07C5" w:rsidP="000851B9">
      <w:pPr>
        <w:autoSpaceDE w:val="0"/>
        <w:autoSpaceDN w:val="0"/>
        <w:adjustRightInd w:val="0"/>
        <w:spacing w:after="0" w:line="276" w:lineRule="auto"/>
        <w:rPr>
          <w:rFonts w:ascii="Cambria" w:hAnsi="Cambria" w:cs="AdvOT1ef757c0"/>
          <w:color w:val="000000"/>
          <w:lang w:val="en-US"/>
        </w:rPr>
      </w:pPr>
      <w:r w:rsidRPr="003A07C5">
        <w:rPr>
          <w:rFonts w:ascii="Cambria" w:hAnsi="Cambria" w:cs="AdvTTd3a5f740"/>
          <w:b/>
          <w:bCs/>
          <w:color w:val="000000"/>
          <w:lang w:val="en-US"/>
        </w:rPr>
        <w:t xml:space="preserve"> </w:t>
      </w:r>
      <w:r w:rsidRPr="003A07C5">
        <w:rPr>
          <w:rFonts w:ascii="Cambria" w:hAnsi="Cambria" w:cs="AdvOT1ef757c0"/>
          <w:color w:val="000000"/>
          <w:lang w:val="en-US"/>
        </w:rPr>
        <w:t>After spheroids formation using hanging drop method (Fig.</w:t>
      </w:r>
      <w:r w:rsidR="00691EAE">
        <w:rPr>
          <w:rFonts w:ascii="Cambria" w:hAnsi="Cambria" w:cs="AdvOT1ef757c0"/>
          <w:color w:val="000000"/>
          <w:lang w:val="en-US"/>
        </w:rPr>
        <w:t>S</w:t>
      </w:r>
      <w:r w:rsidRPr="003A07C5">
        <w:rPr>
          <w:rFonts w:ascii="Cambria" w:hAnsi="Cambria" w:cs="AdvOT1ef757c0"/>
          <w:color w:val="000000"/>
          <w:lang w:val="en-US"/>
        </w:rPr>
        <w:t>2a), 3D cell lines were treated with 10 µM, 50µM and 100µM of REGO (Fig.</w:t>
      </w:r>
      <w:r w:rsidR="00691EAE">
        <w:rPr>
          <w:rFonts w:ascii="Cambria" w:hAnsi="Cambria" w:cs="AdvOT1ef757c0"/>
          <w:color w:val="000000"/>
          <w:lang w:val="en-US"/>
        </w:rPr>
        <w:t>S</w:t>
      </w:r>
      <w:r w:rsidRPr="003A07C5">
        <w:rPr>
          <w:rFonts w:ascii="Cambria" w:hAnsi="Cambria" w:cs="AdvOT1ef757c0"/>
          <w:color w:val="000000"/>
          <w:lang w:val="en-US"/>
        </w:rPr>
        <w:t xml:space="preserve">2b). FLIM image data were recorded from 15 </w:t>
      </w:r>
      <w:r w:rsidRPr="003A07C5">
        <w:rPr>
          <w:rFonts w:ascii="Cambria" w:hAnsi="Cambria" w:cs="AdvOT1ef757c0+fb"/>
          <w:color w:val="000000"/>
          <w:lang w:val="en-US"/>
        </w:rPr>
        <w:t>fi</w:t>
      </w:r>
      <w:r w:rsidRPr="003A07C5">
        <w:rPr>
          <w:rFonts w:ascii="Cambria" w:hAnsi="Cambria" w:cs="AdvOT1ef757c0"/>
          <w:color w:val="000000"/>
          <w:lang w:val="en-US"/>
        </w:rPr>
        <w:t xml:space="preserve">elds of view for each slide of all cell </w:t>
      </w:r>
      <w:r w:rsidR="00E35AA1">
        <w:rPr>
          <w:rFonts w:ascii="Cambria" w:hAnsi="Cambria" w:cs="AdvOT1ef757c0"/>
          <w:color w:val="000000"/>
          <w:lang w:val="en-US"/>
        </w:rPr>
        <w:t>lines 72hr post treatment (Fig.</w:t>
      </w:r>
      <w:r w:rsidR="00691EAE">
        <w:rPr>
          <w:rFonts w:ascii="Cambria" w:hAnsi="Cambria" w:cs="AdvOT1ef757c0"/>
          <w:color w:val="000000"/>
          <w:lang w:val="en-US"/>
        </w:rPr>
        <w:t>S</w:t>
      </w:r>
      <w:r w:rsidRPr="003A07C5">
        <w:rPr>
          <w:rFonts w:ascii="Cambria" w:hAnsi="Cambria" w:cs="AdvOT1ef757c0"/>
          <w:color w:val="000000"/>
          <w:lang w:val="en-US"/>
        </w:rPr>
        <w:t xml:space="preserve">2c). Data were analyzed using phasor approach targeting the </w:t>
      </w:r>
      <w:proofErr w:type="spellStart"/>
      <w:r w:rsidRPr="003A07C5">
        <w:rPr>
          <w:rFonts w:ascii="Cambria" w:hAnsi="Cambria" w:cs="AdvOT1ef757c0"/>
          <w:color w:val="000000"/>
          <w:lang w:val="en-US"/>
        </w:rPr>
        <w:t>auto</w:t>
      </w:r>
      <w:r w:rsidRPr="003A07C5">
        <w:rPr>
          <w:rFonts w:ascii="Cambria" w:hAnsi="Cambria" w:cs="AdvOT1ef757c0+fb"/>
          <w:color w:val="000000"/>
          <w:lang w:val="en-US"/>
        </w:rPr>
        <w:t>fl</w:t>
      </w:r>
      <w:r w:rsidRPr="003A07C5">
        <w:rPr>
          <w:rFonts w:ascii="Cambria" w:hAnsi="Cambria" w:cs="AdvOT1ef757c0"/>
          <w:color w:val="000000"/>
          <w:lang w:val="en-US"/>
        </w:rPr>
        <w:t>uorescence</w:t>
      </w:r>
      <w:proofErr w:type="spellEnd"/>
      <w:r w:rsidRPr="003A07C5">
        <w:rPr>
          <w:rFonts w:ascii="Cambria" w:hAnsi="Cambria" w:cs="AdvOT1ef757c0"/>
          <w:color w:val="000000"/>
          <w:lang w:val="en-US"/>
        </w:rPr>
        <w:t xml:space="preserve"> of the intracellular metabolic cofactor NAD(P)H</w:t>
      </w:r>
      <w:r w:rsidRPr="00681E1C">
        <w:rPr>
          <w:rFonts w:ascii="Cambria" w:hAnsi="Cambria" w:cs="AdvOT1ef757c0"/>
          <w:color w:val="000000"/>
        </w:rPr>
        <w:fldChar w:fldCharType="begin" w:fldLock="1"/>
      </w:r>
      <w:r w:rsidRPr="003A07C5">
        <w:rPr>
          <w:rFonts w:ascii="Cambria" w:hAnsi="Cambria" w:cs="AdvOT1ef757c0"/>
          <w:color w:val="000000"/>
          <w:lang w:val="en-US"/>
        </w:rPr>
        <w:instrText>ADDIN CSL_CITATION {"citationItems":[{"id":"ITEM-1","itemData":{"DOI":"10.1038/s41596-018-0026-5","ISSN":"17502799","PMID":"30190551","abstract":"Fluorescence lifetime imaging microscopy (FLIM) is used in diverse disciplines, including biology, chemistry and biophysics, but its use has been limited by the complexity of the data analysis. The phasor approach to FLIM has the potential to markedly reduce this complexity and at the same time provide a powerful visualization of the data content. Phasor plots for fluorescence lifetime analysis were originally developed as a graphical representation of excited-state fluorescence lifetimes for in vitro systems. The method's simple mathematics and specific rules avoid errors and confusion common in the study of complex and heterogeneous fluorescence. In the case of FLIM, the phasor approach has become a powerful method for simple and fit-free analyses of the information contained in the many thousands of pixels constituting an image. At present, the phasor plot is used not only for FLIM, but also for hyperspectral imaging, wherein phasors provide an unprecedented understanding of heterogeneous fluorescence. Undoubtedly, phasor plots will be increasingly important in the future analysis and understanding of FLIM and hyperspectral confocal imaging. This protocol presents the principle of the method and guides users through one of the popular interfaces for FLIM phasor analysis, namely, the SimFCS software. Implementation of the analysis takes only minutes to complete for a dataset containing hundreds of files.","author":[{"dropping-particle":"","family":"Ranjit","given":"Suman","non-dropping-particle":"","parse-names":false,"suffix":""},{"dropping-particle":"","family":"Malacrida","given":"Leonel","non-dropping-particle":"","parse-names":false,"suffix":""},{"dropping-particle":"","family":"Jameson","given":"David M.","non-dropping-particle":"","parse-names":false,"suffix":""},{"dropping-particle":"","family":"Gratton","given":"Enrico","non-dropping-particle":"","parse-names":false,"suffix":""}],"container-title":"Nature Protocols","id":"ITEM-1","issue":"9","issued":{"date-parts":[["2018","9"]]},"page":"1979-2004","publisher":"Nature Publishing Group","title":"Fit-free analysis of fluorescence lifetime imaging data using the phasor approach","type":"article-journal","volume":"13"},"uris":["http://www.mendeley.com/documents/?uuid=58190d76-c639-406b-aa1b-eda8c98c35c5"]}],"mendeley":{"formattedCitation":"&lt;sup&gt;15&lt;/sup&gt;","plainTextFormattedCitation":"15","previouslyFormattedCitation":"&lt;sup&gt;15&lt;/sup&gt;"},"properties":{"noteIndex":0},"schema":"https://github.com/citation-style-language/schema/raw/master/csl-citation.json"}</w:instrText>
      </w:r>
      <w:r w:rsidRPr="00681E1C">
        <w:rPr>
          <w:rFonts w:ascii="Cambria" w:hAnsi="Cambria" w:cs="AdvOT1ef757c0"/>
          <w:color w:val="000000"/>
        </w:rPr>
        <w:fldChar w:fldCharType="separate"/>
      </w:r>
      <w:r w:rsidRPr="003A07C5">
        <w:rPr>
          <w:rFonts w:ascii="Cambria" w:hAnsi="Cambria" w:cs="AdvOT1ef757c0"/>
          <w:noProof/>
          <w:color w:val="000000"/>
          <w:vertAlign w:val="superscript"/>
          <w:lang w:val="en-US"/>
        </w:rPr>
        <w:t>15</w:t>
      </w:r>
      <w:r w:rsidRPr="00681E1C">
        <w:rPr>
          <w:rFonts w:ascii="Cambria" w:hAnsi="Cambria" w:cs="AdvOT1ef757c0"/>
          <w:color w:val="000000"/>
        </w:rPr>
        <w:fldChar w:fldCharType="end"/>
      </w:r>
      <w:r w:rsidR="00E35AA1">
        <w:rPr>
          <w:rFonts w:ascii="Cambria" w:hAnsi="Cambria" w:cs="AdvOT1ef757c0"/>
          <w:color w:val="000000"/>
          <w:lang w:val="en-US"/>
        </w:rPr>
        <w:t xml:space="preserve"> (Fig.</w:t>
      </w:r>
      <w:r w:rsidR="00691EAE">
        <w:rPr>
          <w:rFonts w:ascii="Cambria" w:hAnsi="Cambria" w:cs="AdvOT1ef757c0"/>
          <w:color w:val="000000"/>
          <w:lang w:val="en-US"/>
        </w:rPr>
        <w:t>S</w:t>
      </w:r>
      <w:r w:rsidRPr="003A07C5">
        <w:rPr>
          <w:rFonts w:ascii="Cambria" w:hAnsi="Cambria" w:cs="AdvOT1ef757c0"/>
          <w:color w:val="000000"/>
          <w:lang w:val="en-US"/>
        </w:rPr>
        <w:t>2d).  A fractional NAD(P)H mean distribution curve of free and bound NAD(P)H molecules for each image was obtained (see Materials and Methods) and from these a mean distribution curve for treated and one for control 3D cell lines, that identifies a metabolic signature that goes from an oxidative phosphorylation phenotype with low free/bound NAD(P)H fractions to a glycolytic phenotype with high free/bound NAD(P)H.  Then, from the comparison of the mean curves we can obtained a % of drug response (see Materials and Methods) (Fig.</w:t>
      </w:r>
      <w:r w:rsidR="00691EAE">
        <w:rPr>
          <w:rFonts w:ascii="Cambria" w:hAnsi="Cambria" w:cs="AdvOT1ef757c0"/>
          <w:color w:val="000000"/>
          <w:lang w:val="en-US"/>
        </w:rPr>
        <w:t>S</w:t>
      </w:r>
      <w:r w:rsidRPr="003A07C5">
        <w:rPr>
          <w:rFonts w:ascii="Cambria" w:hAnsi="Cambria" w:cs="AdvOT1ef757c0"/>
          <w:color w:val="000000"/>
          <w:lang w:val="en-US"/>
        </w:rPr>
        <w:t xml:space="preserve">2e). Figure 2f shows representative images of 3D-T98G cells treated with different REGO concentration, including </w:t>
      </w:r>
      <w:proofErr w:type="spellStart"/>
      <w:r w:rsidRPr="003A07C5">
        <w:rPr>
          <w:rFonts w:ascii="Cambria" w:hAnsi="Cambria" w:cs="AdvOT1ef757c0"/>
          <w:color w:val="000000"/>
          <w:lang w:val="en-US"/>
        </w:rPr>
        <w:t>brightfield</w:t>
      </w:r>
      <w:proofErr w:type="spellEnd"/>
      <w:r w:rsidRPr="003A07C5">
        <w:rPr>
          <w:rFonts w:ascii="Cambria" w:hAnsi="Cambria" w:cs="AdvOT1ef757c0"/>
          <w:color w:val="000000"/>
          <w:lang w:val="en-US"/>
        </w:rPr>
        <w:t xml:space="preserve"> images (top row) and phasor-FLIM NAD(P)H lifetime maps (on the bottom), colored in accordance with the color bar defined on the side. The color bar defines the metabolic pathway from NAD(P)H in the bound state (red/magenta) to NAD(P)H in the free state (green/white). In Figure </w:t>
      </w:r>
      <w:r w:rsidR="00691EAE">
        <w:rPr>
          <w:rFonts w:ascii="Cambria" w:hAnsi="Cambria" w:cs="AdvOT1ef757c0"/>
          <w:color w:val="000000"/>
          <w:lang w:val="en-US"/>
        </w:rPr>
        <w:t>S</w:t>
      </w:r>
      <w:r w:rsidRPr="003A07C5">
        <w:rPr>
          <w:rFonts w:ascii="Cambria" w:hAnsi="Cambria" w:cs="AdvOT1ef757c0"/>
          <w:color w:val="000000"/>
          <w:lang w:val="en-US"/>
        </w:rPr>
        <w:t>2g we report the fractional NAD(P)H mean distribution curves of the control and REGO</w:t>
      </w:r>
      <w:r w:rsidRPr="003A07C5" w:rsidDel="00E61449">
        <w:rPr>
          <w:rFonts w:ascii="Cambria" w:hAnsi="Cambria" w:cs="AdvOT1ef757c0"/>
          <w:color w:val="000000"/>
          <w:lang w:val="en-US"/>
        </w:rPr>
        <w:t xml:space="preserve"> </w:t>
      </w:r>
      <w:r w:rsidRPr="003A07C5">
        <w:rPr>
          <w:rFonts w:ascii="Cambria" w:hAnsi="Cambria" w:cs="AdvOT1ef757c0"/>
          <w:color w:val="000000"/>
          <w:lang w:val="en-US"/>
        </w:rPr>
        <w:t xml:space="preserve">-treated 3D-T98G cells: in 10 </w:t>
      </w:r>
      <w:r w:rsidRPr="00681E1C">
        <w:rPr>
          <w:rFonts w:ascii="Symbol" w:hAnsi="Symbol" w:cs="AdvOT1ef757c0"/>
          <w:color w:val="000000"/>
        </w:rPr>
        <w:t></w:t>
      </w:r>
      <w:r w:rsidRPr="003A07C5">
        <w:rPr>
          <w:rFonts w:ascii="Cambria" w:hAnsi="Cambria" w:cs="AdvOT1ef757c0"/>
          <w:color w:val="000000"/>
          <w:lang w:val="en-US"/>
        </w:rPr>
        <w:t xml:space="preserve">M </w:t>
      </w:r>
      <w:proofErr w:type="spellStart"/>
      <w:r w:rsidRPr="003A07C5">
        <w:rPr>
          <w:rFonts w:ascii="Cambria" w:hAnsi="Cambria" w:cs="AdvOT1ef757c0"/>
          <w:color w:val="000000"/>
          <w:lang w:val="en-US"/>
        </w:rPr>
        <w:t>Rego</w:t>
      </w:r>
      <w:proofErr w:type="spellEnd"/>
      <w:r w:rsidRPr="003A07C5">
        <w:rPr>
          <w:rFonts w:ascii="Cambria" w:hAnsi="Cambria" w:cs="AdvOT1ef757c0"/>
          <w:color w:val="000000"/>
          <w:lang w:val="en-US"/>
        </w:rPr>
        <w:t xml:space="preserve"> treated spheroids no significant shift of treated curve was observed respect to controls, that means %DR=0; using REGO concentrations of 50 M and 100</w:t>
      </w:r>
      <w:r w:rsidRPr="00681E1C">
        <w:rPr>
          <w:rFonts w:ascii="Symbol" w:hAnsi="Symbol" w:cs="AdvOT1ef757c0"/>
          <w:color w:val="000000"/>
        </w:rPr>
        <w:t></w:t>
      </w:r>
      <w:r w:rsidRPr="003A07C5">
        <w:rPr>
          <w:rFonts w:ascii="Cambria" w:hAnsi="Cambria" w:cs="AdvOT1ef757c0"/>
          <w:color w:val="000000"/>
          <w:lang w:val="en-US"/>
        </w:rPr>
        <w:t xml:space="preserve">M a 74% and 91% of drug response was detected, respectively. For 3D-U87 and 3D-U118 cell lines similar results were obtained: 29, 32, 77 </w:t>
      </w:r>
      <w:r w:rsidRPr="003A07C5">
        <w:rPr>
          <w:rFonts w:ascii="Cambria" w:hAnsi="Cambria" w:cs="AdvOT1ef757c0"/>
          <w:color w:val="000000"/>
          <w:lang w:val="en-US"/>
        </w:rPr>
        <w:lastRenderedPageBreak/>
        <w:t xml:space="preserve">%DR in 3D-U87 and 3, 46,75%DR in 3D-U118 after 10 </w:t>
      </w:r>
      <w:r w:rsidRPr="00681E1C">
        <w:rPr>
          <w:rFonts w:ascii="Symbol" w:hAnsi="Symbol" w:cs="AdvOT1ef757c0"/>
          <w:color w:val="000000"/>
        </w:rPr>
        <w:t></w:t>
      </w:r>
      <w:r w:rsidRPr="003A07C5">
        <w:rPr>
          <w:rFonts w:ascii="Cambria" w:hAnsi="Cambria" w:cs="AdvOT1ef757c0"/>
          <w:color w:val="000000"/>
          <w:lang w:val="en-US"/>
        </w:rPr>
        <w:t xml:space="preserve">M ,50 </w:t>
      </w:r>
      <w:r w:rsidRPr="00681E1C">
        <w:rPr>
          <w:rFonts w:ascii="Symbol" w:hAnsi="Symbol" w:cs="AdvOT1ef757c0"/>
          <w:color w:val="000000"/>
        </w:rPr>
        <w:t></w:t>
      </w:r>
      <w:r w:rsidRPr="003A07C5">
        <w:rPr>
          <w:rFonts w:ascii="Cambria" w:hAnsi="Cambria" w:cs="AdvOT1ef757c0"/>
          <w:color w:val="000000"/>
          <w:lang w:val="en-US"/>
        </w:rPr>
        <w:t xml:space="preserve">M and 100 </w:t>
      </w:r>
      <w:r w:rsidRPr="00681E1C">
        <w:rPr>
          <w:rFonts w:ascii="Symbol" w:hAnsi="Symbol" w:cs="AdvOT1ef757c0"/>
          <w:color w:val="000000"/>
        </w:rPr>
        <w:t></w:t>
      </w:r>
      <w:r w:rsidRPr="003A07C5">
        <w:rPr>
          <w:rFonts w:ascii="Cambria" w:hAnsi="Cambria" w:cs="AdvOT1ef757c0"/>
          <w:color w:val="000000"/>
          <w:lang w:val="en-US"/>
        </w:rPr>
        <w:t>M, respectively (data not shown).</w:t>
      </w:r>
    </w:p>
    <w:p w:rsidR="003A07C5" w:rsidRPr="003A07C5" w:rsidRDefault="00AD5F18" w:rsidP="000851B9">
      <w:pPr>
        <w:autoSpaceDE w:val="0"/>
        <w:autoSpaceDN w:val="0"/>
        <w:adjustRightInd w:val="0"/>
        <w:spacing w:after="0" w:line="276" w:lineRule="auto"/>
        <w:jc w:val="both"/>
        <w:rPr>
          <w:rFonts w:ascii="Cambria" w:hAnsi="Cambria" w:cs="AdvOT1ef757c0"/>
          <w:color w:val="000000"/>
          <w:lang w:val="en-US"/>
        </w:rPr>
      </w:pPr>
      <w:r w:rsidRPr="00AD5F18">
        <w:rPr>
          <w:rFonts w:ascii="Cambria" w:hAnsi="Cambria" w:cs="AdvOT1ef757c0"/>
          <w:color w:val="000000"/>
          <w:lang w:val="en-US"/>
        </w:rPr>
        <w:t>Considering the comprehensive results from viability, proliferation, and metabolic analyses in both 2D and 3D cell line models, a REGO concentration of 50 µM was selected for explants treatment.</w:t>
      </w:r>
    </w:p>
    <w:p w:rsidR="003A07C5" w:rsidRPr="003A07C5" w:rsidRDefault="003A07C5" w:rsidP="003A07C5">
      <w:pPr>
        <w:autoSpaceDE w:val="0"/>
        <w:autoSpaceDN w:val="0"/>
        <w:adjustRightInd w:val="0"/>
        <w:spacing w:line="276" w:lineRule="auto"/>
        <w:jc w:val="both"/>
        <w:rPr>
          <w:rFonts w:ascii="Cambria" w:hAnsi="Cambria" w:cs="AdvOT1ef757c0"/>
          <w:color w:val="000000"/>
          <w:lang w:val="en-US"/>
        </w:rPr>
      </w:pPr>
    </w:p>
    <w:p w:rsidR="003A07C5" w:rsidRPr="003A07C5" w:rsidRDefault="00691EAE" w:rsidP="003A07C5">
      <w:pPr>
        <w:autoSpaceDE w:val="0"/>
        <w:autoSpaceDN w:val="0"/>
        <w:adjustRightInd w:val="0"/>
        <w:spacing w:line="276" w:lineRule="auto"/>
        <w:jc w:val="both"/>
        <w:rPr>
          <w:rFonts w:ascii="Cambria" w:hAnsi="Cambria" w:cs="AdvOT1ef757c0"/>
          <w:i/>
          <w:iCs/>
          <w:color w:val="000000"/>
          <w:lang w:val="en-US"/>
        </w:rPr>
      </w:pPr>
      <w:r>
        <w:rPr>
          <w:rFonts w:ascii="Cambria" w:hAnsi="Cambria" w:cs="AdvOT1ef757c0"/>
          <w:b/>
          <w:bCs/>
          <w:i/>
          <w:iCs/>
          <w:color w:val="000000"/>
          <w:lang w:val="en-US"/>
        </w:rPr>
        <w:t xml:space="preserve">Figure </w:t>
      </w:r>
      <w:r w:rsidR="003A07C5">
        <w:rPr>
          <w:rFonts w:ascii="Cambria" w:hAnsi="Cambria" w:cs="AdvOT1ef757c0"/>
          <w:b/>
          <w:bCs/>
          <w:i/>
          <w:iCs/>
          <w:color w:val="000000"/>
          <w:lang w:val="en-US"/>
        </w:rPr>
        <w:t>S</w:t>
      </w:r>
      <w:r>
        <w:rPr>
          <w:rFonts w:ascii="Cambria" w:hAnsi="Cambria" w:cs="AdvOT1ef757c0"/>
          <w:b/>
          <w:bCs/>
          <w:i/>
          <w:iCs/>
          <w:color w:val="000000"/>
          <w:lang w:val="en-US"/>
        </w:rPr>
        <w:t>2.</w:t>
      </w:r>
      <w:r w:rsidR="003A07C5" w:rsidRPr="003A07C5">
        <w:rPr>
          <w:rFonts w:ascii="Cambria" w:hAnsi="Cambria" w:cs="AdvOT1ef757c0"/>
          <w:b/>
          <w:bCs/>
          <w:i/>
          <w:iCs/>
          <w:color w:val="000000"/>
          <w:lang w:val="en-US"/>
        </w:rPr>
        <w:t xml:space="preserve"> FLIM analysis on 3D-T98G cell line using different REGO concentrations</w:t>
      </w:r>
      <w:r w:rsidR="003A07C5" w:rsidRPr="003A07C5">
        <w:rPr>
          <w:rFonts w:ascii="Cambria" w:hAnsi="Cambria" w:cs="AdvOT1ef757c0"/>
          <w:i/>
          <w:iCs/>
          <w:color w:val="000000"/>
          <w:lang w:val="en-US"/>
        </w:rPr>
        <w:t xml:space="preserve">. </w:t>
      </w:r>
    </w:p>
    <w:p w:rsidR="003A07C5" w:rsidRPr="003A07C5" w:rsidRDefault="003A07C5" w:rsidP="003A07C5">
      <w:pPr>
        <w:autoSpaceDE w:val="0"/>
        <w:autoSpaceDN w:val="0"/>
        <w:adjustRightInd w:val="0"/>
        <w:spacing w:line="276" w:lineRule="auto"/>
        <w:jc w:val="both"/>
        <w:rPr>
          <w:rFonts w:ascii="Cambria" w:hAnsi="Cambria" w:cs="AdvOT1ef757c0"/>
          <w:i/>
          <w:iCs/>
          <w:color w:val="000000"/>
          <w:lang w:val="en-US"/>
        </w:rPr>
      </w:pPr>
      <w:r w:rsidRPr="003A07C5">
        <w:rPr>
          <w:rFonts w:ascii="Cambria" w:hAnsi="Cambria" w:cs="AdvOT1ef757c0"/>
          <w:b/>
          <w:bCs/>
          <w:i/>
          <w:iCs/>
          <w:color w:val="000000"/>
          <w:lang w:val="en-US"/>
        </w:rPr>
        <w:t>a-e</w:t>
      </w:r>
      <w:r w:rsidRPr="003A07C5">
        <w:rPr>
          <w:rFonts w:ascii="Cambria" w:hAnsi="Cambria" w:cs="AdvOT1ef757c0"/>
          <w:i/>
          <w:iCs/>
          <w:color w:val="000000"/>
          <w:lang w:val="en-US"/>
        </w:rPr>
        <w:t xml:space="preserve"> Spheroids were formed using hanging drop technique (a, top). An example of </w:t>
      </w:r>
      <w:proofErr w:type="spellStart"/>
      <w:r w:rsidRPr="003A07C5">
        <w:rPr>
          <w:rFonts w:ascii="Cambria" w:hAnsi="Cambria" w:cs="AdvOT1ef757c0"/>
          <w:i/>
          <w:iCs/>
          <w:color w:val="000000"/>
          <w:lang w:val="en-US"/>
        </w:rPr>
        <w:t>brightfield</w:t>
      </w:r>
      <w:proofErr w:type="spellEnd"/>
      <w:r w:rsidRPr="003A07C5">
        <w:rPr>
          <w:rFonts w:ascii="Cambria" w:hAnsi="Cambria" w:cs="AdvOT1ef757c0"/>
          <w:i/>
          <w:iCs/>
          <w:color w:val="000000"/>
          <w:lang w:val="en-US"/>
        </w:rPr>
        <w:t xml:space="preserve"> sphere image is shown (a bottom). 3D cells were treated with 10</w:t>
      </w:r>
      <w:r w:rsidRPr="00681E1C">
        <w:rPr>
          <w:rFonts w:ascii="Symbol" w:hAnsi="Symbol" w:cs="AdvOT1ef757c0"/>
          <w:i/>
          <w:iCs/>
          <w:color w:val="000000"/>
        </w:rPr>
        <w:t></w:t>
      </w:r>
      <w:r w:rsidRPr="003A07C5">
        <w:rPr>
          <w:rFonts w:ascii="Cambria" w:hAnsi="Cambria" w:cs="AdvOT1ef757c0"/>
          <w:i/>
          <w:iCs/>
          <w:color w:val="000000"/>
          <w:lang w:val="en-US"/>
        </w:rPr>
        <w:t>M, 50</w:t>
      </w:r>
      <w:r w:rsidRPr="00681E1C">
        <w:rPr>
          <w:rFonts w:ascii="Symbol" w:hAnsi="Symbol" w:cs="AdvOT1ef757c0"/>
          <w:i/>
          <w:iCs/>
          <w:color w:val="000000"/>
        </w:rPr>
        <w:t></w:t>
      </w:r>
      <w:r w:rsidRPr="003A07C5">
        <w:rPr>
          <w:rFonts w:ascii="Cambria" w:hAnsi="Cambria" w:cs="AdvOT1ef757c0"/>
          <w:i/>
          <w:iCs/>
          <w:color w:val="000000"/>
          <w:lang w:val="en-US"/>
        </w:rPr>
        <w:t>M and 100</w:t>
      </w:r>
      <w:r w:rsidRPr="00681E1C">
        <w:rPr>
          <w:rFonts w:ascii="Symbol" w:hAnsi="Symbol" w:cs="AdvOT1ef757c0"/>
          <w:i/>
          <w:iCs/>
          <w:color w:val="000000"/>
        </w:rPr>
        <w:t></w:t>
      </w:r>
      <w:r w:rsidRPr="003A07C5">
        <w:rPr>
          <w:rFonts w:ascii="Cambria" w:hAnsi="Cambria" w:cs="AdvOT1ef757c0"/>
          <w:i/>
          <w:iCs/>
          <w:color w:val="000000"/>
          <w:lang w:val="en-US"/>
        </w:rPr>
        <w:t xml:space="preserve">M or with DMSO (representing the controls) (b) and then FLIM images were acquired (c) and analyzed using phasor method (d), from which we obtained a mean NAD(P)H fractional distribution curves, one for treated spheroids and another for the controls. Comparing these 2 curves we calculated a percentage of drug response (%DR). </w:t>
      </w:r>
      <w:r w:rsidRPr="003A07C5">
        <w:rPr>
          <w:rFonts w:ascii="Cambria" w:hAnsi="Cambria" w:cs="AdvOT1ef757c0"/>
          <w:b/>
          <w:bCs/>
          <w:i/>
          <w:iCs/>
          <w:color w:val="000000"/>
          <w:lang w:val="en-US"/>
        </w:rPr>
        <w:t>f</w:t>
      </w:r>
      <w:r w:rsidRPr="003A07C5">
        <w:rPr>
          <w:rFonts w:ascii="Cambria" w:hAnsi="Cambria" w:cs="AdvOT1ef757c0"/>
          <w:i/>
          <w:iCs/>
          <w:color w:val="000000"/>
          <w:lang w:val="en-US"/>
        </w:rPr>
        <w:t xml:space="preserve"> examples of </w:t>
      </w:r>
      <w:proofErr w:type="spellStart"/>
      <w:r w:rsidRPr="003A07C5">
        <w:rPr>
          <w:rFonts w:ascii="Cambria" w:hAnsi="Cambria" w:cs="AdvOT1ef757c0"/>
          <w:i/>
          <w:iCs/>
          <w:color w:val="000000"/>
          <w:lang w:val="en-US"/>
        </w:rPr>
        <w:t>brightfield</w:t>
      </w:r>
      <w:proofErr w:type="spellEnd"/>
      <w:r w:rsidRPr="003A07C5">
        <w:rPr>
          <w:rFonts w:ascii="Cambria" w:hAnsi="Cambria" w:cs="AdvOT1ef757c0"/>
          <w:i/>
          <w:iCs/>
          <w:color w:val="000000"/>
          <w:lang w:val="en-US"/>
        </w:rPr>
        <w:t xml:space="preserve"> images (top) and phasor maps (bottom) of 3D-T98G after 72 </w:t>
      </w:r>
      <w:proofErr w:type="spellStart"/>
      <w:r w:rsidRPr="003A07C5">
        <w:rPr>
          <w:rFonts w:ascii="Cambria" w:hAnsi="Cambria" w:cs="AdvOT1ef757c0"/>
          <w:i/>
          <w:iCs/>
          <w:color w:val="000000"/>
          <w:lang w:val="en-US"/>
        </w:rPr>
        <w:t>hrs</w:t>
      </w:r>
      <w:proofErr w:type="spellEnd"/>
      <w:r w:rsidRPr="003A07C5">
        <w:rPr>
          <w:rFonts w:ascii="Cambria" w:hAnsi="Cambria" w:cs="AdvOT1ef757c0"/>
          <w:i/>
          <w:iCs/>
          <w:color w:val="000000"/>
          <w:lang w:val="en-US"/>
        </w:rPr>
        <w:t xml:space="preserve"> of </w:t>
      </w:r>
      <w:r w:rsidRPr="003A07C5">
        <w:rPr>
          <w:rFonts w:ascii="Cambria" w:hAnsi="Cambria" w:cs="AdvOT1ef757c0"/>
          <w:bCs/>
          <w:i/>
          <w:iCs/>
          <w:color w:val="000000"/>
          <w:lang w:val="en-US"/>
        </w:rPr>
        <w:t>REGO</w:t>
      </w:r>
      <w:r w:rsidRPr="003A07C5">
        <w:rPr>
          <w:rFonts w:ascii="Cambria" w:hAnsi="Cambria" w:cs="AdvOT1ef757c0"/>
          <w:i/>
          <w:iCs/>
          <w:color w:val="000000"/>
          <w:lang w:val="en-US"/>
        </w:rPr>
        <w:t xml:space="preserve"> treatment using different drug concentrations. </w:t>
      </w:r>
      <w:r w:rsidRPr="003A07C5">
        <w:rPr>
          <w:rFonts w:ascii="Cambria" w:hAnsi="Cambria" w:cs="AdvOT1ef757c0"/>
          <w:b/>
          <w:bCs/>
          <w:i/>
          <w:iCs/>
          <w:color w:val="000000"/>
          <w:lang w:val="en-US"/>
        </w:rPr>
        <w:t>g</w:t>
      </w:r>
      <w:r w:rsidRPr="003A07C5">
        <w:rPr>
          <w:rFonts w:ascii="Cambria" w:hAnsi="Cambria" w:cs="AdvOT1ef757c0"/>
          <w:i/>
          <w:iCs/>
          <w:color w:val="000000"/>
          <w:lang w:val="en-US"/>
        </w:rPr>
        <w:t xml:space="preserve"> Comparison of mean NAD(P)H fractional distribution curves for controls and </w:t>
      </w:r>
      <w:r w:rsidRPr="003A07C5">
        <w:rPr>
          <w:rFonts w:ascii="Cambria" w:hAnsi="Cambria" w:cs="AdvOT1ef757c0"/>
          <w:bCs/>
          <w:i/>
          <w:iCs/>
          <w:color w:val="000000"/>
          <w:lang w:val="en-US"/>
        </w:rPr>
        <w:t>REGO</w:t>
      </w:r>
      <w:r w:rsidRPr="003A07C5" w:rsidDel="00032A64">
        <w:rPr>
          <w:rFonts w:ascii="Cambria" w:hAnsi="Cambria" w:cs="AdvOT1ef757c0"/>
          <w:i/>
          <w:iCs/>
          <w:color w:val="000000"/>
          <w:lang w:val="en-US"/>
        </w:rPr>
        <w:t xml:space="preserve"> </w:t>
      </w:r>
      <w:r w:rsidRPr="003A07C5">
        <w:rPr>
          <w:rFonts w:ascii="Cambria" w:hAnsi="Cambria" w:cs="AdvOT1ef757c0"/>
          <w:i/>
          <w:iCs/>
          <w:color w:val="000000"/>
          <w:lang w:val="en-US"/>
        </w:rPr>
        <w:t xml:space="preserve">-treated 3D-T98G spheroids at different </w:t>
      </w:r>
      <w:r w:rsidRPr="003A07C5">
        <w:rPr>
          <w:rFonts w:ascii="Cambria" w:hAnsi="Cambria" w:cs="AdvOT1ef757c0"/>
          <w:bCs/>
          <w:i/>
          <w:iCs/>
          <w:color w:val="000000"/>
          <w:lang w:val="en-US"/>
        </w:rPr>
        <w:t>REGO</w:t>
      </w:r>
      <w:r w:rsidRPr="003A07C5">
        <w:rPr>
          <w:rFonts w:ascii="Cambria" w:hAnsi="Cambria" w:cs="AdvOT1ef757c0"/>
          <w:i/>
          <w:iCs/>
          <w:color w:val="000000"/>
          <w:lang w:val="en-US"/>
        </w:rPr>
        <w:t xml:space="preserve"> concentrations. 0, 74 and 91 %DR was detected for 10</w:t>
      </w:r>
      <w:r w:rsidRPr="001C2C1F">
        <w:rPr>
          <w:rFonts w:ascii="Symbol" w:hAnsi="Symbol" w:cs="AdvOT1ef757c0"/>
          <w:i/>
          <w:iCs/>
          <w:color w:val="000000"/>
        </w:rPr>
        <w:t></w:t>
      </w:r>
      <w:r w:rsidRPr="003A07C5">
        <w:rPr>
          <w:rFonts w:ascii="Cambria" w:hAnsi="Cambria" w:cs="AdvOT1ef757c0"/>
          <w:i/>
          <w:iCs/>
          <w:color w:val="000000"/>
          <w:lang w:val="en-US"/>
        </w:rPr>
        <w:t>M, 50</w:t>
      </w:r>
      <w:r w:rsidRPr="001C2C1F">
        <w:rPr>
          <w:rFonts w:ascii="Symbol" w:hAnsi="Symbol" w:cs="AdvOT1ef757c0"/>
          <w:i/>
          <w:iCs/>
          <w:color w:val="000000"/>
        </w:rPr>
        <w:t></w:t>
      </w:r>
      <w:r w:rsidRPr="003A07C5">
        <w:rPr>
          <w:rFonts w:ascii="Cambria" w:hAnsi="Cambria" w:cs="AdvOT1ef757c0"/>
          <w:i/>
          <w:iCs/>
          <w:color w:val="000000"/>
          <w:lang w:val="en-US"/>
        </w:rPr>
        <w:t>M and 100</w:t>
      </w:r>
      <w:r w:rsidRPr="001C2C1F">
        <w:rPr>
          <w:rFonts w:ascii="Symbol" w:hAnsi="Symbol" w:cs="AdvOT1ef757c0"/>
          <w:i/>
          <w:iCs/>
          <w:color w:val="000000"/>
        </w:rPr>
        <w:t></w:t>
      </w:r>
      <w:r w:rsidRPr="003A07C5">
        <w:rPr>
          <w:rFonts w:ascii="Cambria" w:hAnsi="Cambria" w:cs="AdvOT1ef757c0"/>
          <w:i/>
          <w:iCs/>
          <w:color w:val="000000"/>
          <w:lang w:val="en-US"/>
        </w:rPr>
        <w:t xml:space="preserve">M of </w:t>
      </w:r>
      <w:r w:rsidRPr="003A07C5">
        <w:rPr>
          <w:rFonts w:ascii="Cambria" w:hAnsi="Cambria" w:cs="AdvOT1ef757c0"/>
          <w:bCs/>
          <w:i/>
          <w:iCs/>
          <w:color w:val="000000"/>
          <w:lang w:val="en-US"/>
        </w:rPr>
        <w:t>REGO</w:t>
      </w:r>
      <w:r w:rsidRPr="003A07C5" w:rsidDel="00032A64">
        <w:rPr>
          <w:rFonts w:ascii="Cambria" w:hAnsi="Cambria" w:cs="AdvOT1ef757c0"/>
          <w:i/>
          <w:iCs/>
          <w:color w:val="000000"/>
          <w:lang w:val="en-US"/>
        </w:rPr>
        <w:t xml:space="preserve"> </w:t>
      </w:r>
      <w:r w:rsidRPr="003A07C5">
        <w:rPr>
          <w:rFonts w:ascii="Cambria" w:hAnsi="Cambria" w:cs="AdvOT1ef757c0"/>
          <w:i/>
          <w:iCs/>
          <w:color w:val="000000"/>
          <w:lang w:val="en-US"/>
        </w:rPr>
        <w:t>-treatment, respectively. The green area under the treated-curve represents the statistically significant area by which %DR is calculated.</w:t>
      </w:r>
    </w:p>
    <w:p w:rsidR="003A07C5" w:rsidRPr="003A07C5" w:rsidRDefault="003A07C5">
      <w:pPr>
        <w:rPr>
          <w:lang w:val="en-US"/>
        </w:rPr>
      </w:pPr>
    </w:p>
    <w:sectPr w:rsidR="003A07C5" w:rsidRPr="003A07C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AdvTTd3a5f740">
    <w:altName w:val="Cambria"/>
    <w:panose1 w:val="00000000000000000000"/>
    <w:charset w:val="00"/>
    <w:family w:val="roman"/>
    <w:notTrueType/>
    <w:pitch w:val="default"/>
    <w:sig w:usb0="00000003" w:usb1="00000000" w:usb2="00000000" w:usb3="00000000" w:csb0="00000001" w:csb1="00000000"/>
  </w:font>
  <w:font w:name="AdvOT1ef757c0">
    <w:altName w:val="Calibri"/>
    <w:panose1 w:val="00000000000000000000"/>
    <w:charset w:val="00"/>
    <w:family w:val="swiss"/>
    <w:notTrueType/>
    <w:pitch w:val="default"/>
    <w:sig w:usb0="00000003" w:usb1="00000000" w:usb2="00000000" w:usb3="00000000" w:csb0="00000001" w:csb1="00000000"/>
  </w:font>
  <w:font w:name="AdvOT1ef757c0+fb">
    <w:altName w:val="Calibri"/>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D55795"/>
    <w:multiLevelType w:val="hybridMultilevel"/>
    <w:tmpl w:val="BC0479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7C5"/>
    <w:rsid w:val="00076387"/>
    <w:rsid w:val="000851B9"/>
    <w:rsid w:val="001F7BCC"/>
    <w:rsid w:val="003A07C5"/>
    <w:rsid w:val="00440A97"/>
    <w:rsid w:val="004A5CDB"/>
    <w:rsid w:val="004D420C"/>
    <w:rsid w:val="00691EAE"/>
    <w:rsid w:val="006C2C7F"/>
    <w:rsid w:val="00A2083D"/>
    <w:rsid w:val="00AD5F18"/>
    <w:rsid w:val="00E35A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5CA97"/>
  <w15:chartTrackingRefBased/>
  <w15:docId w15:val="{DB33760E-A9BB-4686-A30F-8A3FB5A0B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MDPI62BackMatter">
    <w:name w:val="MDPI_6.2_BackMatter"/>
    <w:qFormat/>
    <w:rsid w:val="001F7BCC"/>
    <w:pPr>
      <w:adjustRightInd w:val="0"/>
      <w:snapToGrid w:val="0"/>
      <w:spacing w:after="120" w:line="228" w:lineRule="auto"/>
      <w:ind w:left="2608"/>
      <w:jc w:val="both"/>
    </w:pPr>
    <w:rPr>
      <w:rFonts w:ascii="Palatino Linotype" w:eastAsia="Times New Roman" w:hAnsi="Palatino Linotype" w:cs="Times New Roman"/>
      <w:snapToGrid w:val="0"/>
      <w:color w:val="000000"/>
      <w:sz w:val="18"/>
      <w:szCs w:val="20"/>
      <w:lang w:val="en-US" w:bidi="en-US"/>
    </w:rPr>
  </w:style>
  <w:style w:type="paragraph" w:styleId="Paragrafoelenco">
    <w:name w:val="List Paragraph"/>
    <w:basedOn w:val="Normale"/>
    <w:uiPriority w:val="34"/>
    <w:qFormat/>
    <w:rsid w:val="001F7B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1099</Words>
  <Characters>6270</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Mariangela Morelli</dc:creator>
  <cp:keywords/>
  <dc:description/>
  <cp:lastModifiedBy>Mariangela Morelli</cp:lastModifiedBy>
  <cp:revision>7</cp:revision>
  <dcterms:created xsi:type="dcterms:W3CDTF">2023-12-14T14:41:00Z</dcterms:created>
  <dcterms:modified xsi:type="dcterms:W3CDTF">2024-02-07T11:21:00Z</dcterms:modified>
</cp:coreProperties>
</file>