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A3E4" w14:textId="6577E128" w:rsidR="003C36F4" w:rsidRPr="00A478C2" w:rsidRDefault="003C36F4" w:rsidP="003C36F4">
      <w:pPr>
        <w:rPr>
          <w:rFonts w:ascii="Palatino Linotype" w:hAnsi="Palatino Linotype"/>
        </w:rPr>
      </w:pPr>
      <w:r w:rsidRPr="00C74493">
        <w:rPr>
          <w:rFonts w:ascii="Palatino Linotype" w:hAnsi="Palatino Linotype"/>
          <w:b/>
          <w:bCs/>
        </w:rPr>
        <w:t>Table S1.</w:t>
      </w:r>
      <w:r>
        <w:rPr>
          <w:rFonts w:ascii="Palatino Linotype" w:hAnsi="Palatino Linotype"/>
        </w:rPr>
        <w:t xml:space="preserve"> </w:t>
      </w:r>
      <w:r w:rsidR="00C751A0" w:rsidRPr="00C751A0">
        <w:rPr>
          <w:rFonts w:ascii="Palatino Linotype" w:hAnsi="Palatino Linotype"/>
        </w:rPr>
        <w:t>Spearman's</w:t>
      </w:r>
      <w:r w:rsidR="00C751A0">
        <w:rPr>
          <w:rFonts w:ascii="Palatino Linotype" w:hAnsi="Palatino Linotype"/>
        </w:rPr>
        <w:t xml:space="preserve"> correlation coefficient</w:t>
      </w:r>
      <w:r w:rsidR="008F1E45">
        <w:rPr>
          <w:rFonts w:ascii="Palatino Linotype" w:hAnsi="Palatino Linotype"/>
        </w:rPr>
        <w:t>s</w:t>
      </w:r>
    </w:p>
    <w:tbl>
      <w:tblPr>
        <w:tblW w:w="13980" w:type="dxa"/>
        <w:tblLook w:val="04A0" w:firstRow="1" w:lastRow="0" w:firstColumn="1" w:lastColumn="0" w:noHBand="0" w:noVBand="1"/>
      </w:tblPr>
      <w:tblGrid>
        <w:gridCol w:w="711"/>
        <w:gridCol w:w="708"/>
        <w:gridCol w:w="748"/>
        <w:gridCol w:w="717"/>
        <w:gridCol w:w="695"/>
        <w:gridCol w:w="663"/>
        <w:gridCol w:w="606"/>
        <w:gridCol w:w="606"/>
        <w:gridCol w:w="748"/>
        <w:gridCol w:w="709"/>
        <w:gridCol w:w="695"/>
        <w:gridCol w:w="748"/>
        <w:gridCol w:w="709"/>
        <w:gridCol w:w="748"/>
        <w:gridCol w:w="678"/>
        <w:gridCol w:w="748"/>
        <w:gridCol w:w="678"/>
        <w:gridCol w:w="709"/>
        <w:gridCol w:w="678"/>
        <w:gridCol w:w="678"/>
      </w:tblGrid>
      <w:tr w:rsidR="003C36F4" w:rsidRPr="003C36F4" w14:paraId="755B2DEF" w14:textId="77777777" w:rsidTr="00C751A0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5AE0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FA4D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pH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E14EB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OM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55703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CaCO</w:t>
            </w: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DE2F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B7F3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496F4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Cu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F8E4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Zn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0C09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Fe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7A81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Mn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67A69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Ni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D5EE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5BF62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Pb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C0E16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Clay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22A7" w14:textId="77777777" w:rsidR="003C36F4" w:rsidRPr="003C36F4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 xml:space="preserve">Cu </w:t>
            </w:r>
          </w:p>
          <w:p w14:paraId="3D4F5781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DTPA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CD00" w14:textId="77777777" w:rsidR="003C36F4" w:rsidRPr="003C36F4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Zn</w:t>
            </w:r>
          </w:p>
          <w:p w14:paraId="5CB14A5F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DTPA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0265" w14:textId="77777777" w:rsidR="003C36F4" w:rsidRPr="003C36F4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Fe</w:t>
            </w:r>
          </w:p>
          <w:p w14:paraId="5B8B9509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DTPA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6AE4" w14:textId="77777777" w:rsidR="003C36F4" w:rsidRPr="003C36F4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Mn</w:t>
            </w:r>
          </w:p>
          <w:p w14:paraId="26CE6088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DTPA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019E" w14:textId="77777777" w:rsidR="003C36F4" w:rsidRPr="003C36F4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Ni</w:t>
            </w:r>
          </w:p>
          <w:p w14:paraId="55FCFDC9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DTPA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FDBB" w14:textId="77777777" w:rsidR="003C36F4" w:rsidRPr="003C36F4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Cd</w:t>
            </w:r>
          </w:p>
          <w:p w14:paraId="6C32D67B" w14:textId="77777777" w:rsidR="003C36F4" w:rsidRPr="00AF402C" w:rsidRDefault="003C36F4" w:rsidP="005F722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DTPA</w:t>
            </w:r>
          </w:p>
        </w:tc>
      </w:tr>
      <w:tr w:rsidR="003C36F4" w:rsidRPr="003C36F4" w14:paraId="3742CD80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1067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80C8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-.308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520A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1CA4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A076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B76D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B610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856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CC8E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3BD4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2111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631D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3BFF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D73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688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773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E115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CEB1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37DB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9D5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69427E3C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7880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CaCO</w:t>
            </w: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878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.543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861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DC25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A23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8BFA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A76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B578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8E84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39B4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92B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F5E9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C792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E29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5BC8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DC3D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E9ED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07DA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C6C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D39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429715B3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C56C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FA33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54CC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037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-.322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14EB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603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6F2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B16F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16A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159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EB3F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C005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53CF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03D8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123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8042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4D71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5AC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7611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4511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088C551B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85F07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251B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54F2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9EF5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-.158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0DA7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.456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8ED1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CE64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BC22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45C9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FC69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29D9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AB0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2317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F864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0386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087A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1EE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D6D1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ECC8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9CB6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5397B87A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B2DF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FC21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E01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175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-.301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E2CC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.345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C56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.418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25A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5F6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8A81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4701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DDD9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A56D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B14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99A7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8E77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4DD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C19E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E3F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8F0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D84A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573E6455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F775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Zn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4D3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5582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-.260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9ED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-.297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19F2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.251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ACF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1B8B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.732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77D5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1974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681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AEFA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8F90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6DBE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E527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094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E04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C258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BF4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DDB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C5D9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134D3FFF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F6DC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Fe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119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-.232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0B1A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B521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-.310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A209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.369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0221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.408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85D7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.510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57B6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.433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C504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55B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383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C32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0D2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A595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19BE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6D6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CB29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CA1F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EBA2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3FB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1F45F50D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D32F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Mn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78B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-.038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A82C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-.298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459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2934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.093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8504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6C9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.308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AA8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.701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1F14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.245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665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1C3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0CA3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790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C67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1145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6BF5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6ABF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1FC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1BD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2A9B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5F232DBE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6BB34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9EA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.233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BEBB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EFDB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8F3D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FFB6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BF53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CFD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3FE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-.256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5324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-.168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5A23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A6B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5988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9FE5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198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6416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82C2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2AF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4FCC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77F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5F647F91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C017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2C0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.128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254E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ED5A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.036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AEC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.047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7ED5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.266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90A8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.465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5DAC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.326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6AFD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.560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4200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D4F0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.219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CEED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BC9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E5A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2BD0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A31E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815A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4434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9B7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DF3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71163A01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C7ED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Pb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984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.078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7AD9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A8D9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.086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7B5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-.147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6E6A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-.278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BDFC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57F5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.348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B5A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BA6B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.358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7DAC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.410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FE5E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.348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5CA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56F8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5064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EE06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2DC7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1C1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FB49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BF9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724DFBD7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2801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Clay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A11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.031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59B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D154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-.134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F1D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-.047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B0BD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2D97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0B8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F684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FEE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.378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0C9B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.286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6BEA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E044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.375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72DA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F1DF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C317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381A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2AEB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4F59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ECFF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59CEAFD1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36CA1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Cu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2A5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41AE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-.275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80A5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-.423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0CAC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.403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0DA3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.441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11FB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.885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B7DB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.624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37A9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.614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32F9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.189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5EF9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-.198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6AE4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.482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D6C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268F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-.087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1942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EC1B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A5FD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D86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70B4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8D2E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43EC871F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BD9F6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Zn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5A7E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-.174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82F1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-.263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2CF0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-.270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D4BA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.326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C5F7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.391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617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.709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F829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.550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0F64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.558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5CAF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.122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7CA7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EBFD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.576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2BD6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DC8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-.294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1052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.849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886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0AC1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6AB9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0E93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0A3E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0A645860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7E8F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Fe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2D0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-.432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87A2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FEE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-.404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BF51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.283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A77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0CF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.296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3816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751E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.577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E322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-.273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7128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FAC4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.328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E4F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-.223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EAF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-.076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02B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.514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9FF3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.457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1237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B874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1F0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C9D1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</w:tr>
      <w:tr w:rsidR="003C36F4" w:rsidRPr="003C36F4" w14:paraId="741048A3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117F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Mn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F1EE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-.344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2A2F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FBE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91A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-.187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9506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-.443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158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C7F9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6E8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-.392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B529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.126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C360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.061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0CBB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-.479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D40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.259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3B5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.252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71DB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-.239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0C2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-.302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3F5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4591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A37F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3026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16D4070F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94E5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Ni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F38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4FD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8F39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5F2EC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-.066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5265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-.287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DCDCD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E97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4883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881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.460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7588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783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-.254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00C5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.510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DD3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.619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279B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-.297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4A51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-.444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53D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-.346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B7D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.624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AD28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AAE0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1B49C563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9839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Cd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FB16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4949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-.219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4D06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BC2B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.035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5194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.254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B5AA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.502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9CB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.392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6B6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.480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3479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.093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C892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.022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C4EE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.759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AA5F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.230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CDBB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-.120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64BD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.541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EFDF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.585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F348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.221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016F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-.189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E5E8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-.068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DFA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 </w:t>
            </w:r>
          </w:p>
        </w:tc>
      </w:tr>
      <w:tr w:rsidR="003C36F4" w:rsidRPr="003C36F4" w14:paraId="2DFDB6C8" w14:textId="77777777" w:rsidTr="00C751A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37E2" w14:textId="77777777" w:rsidR="003C36F4" w:rsidRPr="00AF402C" w:rsidRDefault="003C36F4" w:rsidP="005F7224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</w:rPr>
              <w:t>Pb DTPA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DFE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.087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C4BB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-.300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1077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745B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DBF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918E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.393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0C8BB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.673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871A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.230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8A9C3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.644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59C5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AC0A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.391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D3F0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.541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7B52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.180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6930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.268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95656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.272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223D7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E00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-.046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015C1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.323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F6335" w14:textId="77777777" w:rsidR="003C36F4" w:rsidRPr="00AF402C" w:rsidRDefault="003C36F4" w:rsidP="005F7224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</w:pP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</w:rPr>
              <w:t>.348</w:t>
            </w:r>
            <w:r w:rsidRPr="00AF402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</w:tbl>
    <w:p w14:paraId="7971588E" w14:textId="77777777" w:rsidR="00C751A0" w:rsidRPr="00C751A0" w:rsidRDefault="00C751A0" w:rsidP="00C751A0">
      <w:pPr>
        <w:spacing w:after="0"/>
        <w:rPr>
          <w:rFonts w:ascii="Palatino Linotype" w:hAnsi="Palatino Linotype"/>
          <w:sz w:val="18"/>
          <w:szCs w:val="18"/>
        </w:rPr>
      </w:pPr>
      <w:r w:rsidRPr="00C751A0">
        <w:rPr>
          <w:rFonts w:ascii="Palatino Linotype" w:hAnsi="Palatino Linotype"/>
          <w:sz w:val="18"/>
          <w:szCs w:val="18"/>
        </w:rPr>
        <w:t>**. Correlation is significant at the 0.01 level (2-tailed).</w:t>
      </w:r>
    </w:p>
    <w:p w14:paraId="3994455A" w14:textId="0C5F286A" w:rsidR="003C36F4" w:rsidRPr="00C751A0" w:rsidRDefault="00C751A0" w:rsidP="00C751A0">
      <w:pPr>
        <w:rPr>
          <w:rFonts w:ascii="Palatino Linotype" w:hAnsi="Palatino Linotype"/>
          <w:sz w:val="18"/>
          <w:szCs w:val="18"/>
        </w:rPr>
      </w:pPr>
      <w:r w:rsidRPr="00C751A0">
        <w:rPr>
          <w:rFonts w:ascii="Palatino Linotype" w:hAnsi="Palatino Linotype"/>
          <w:sz w:val="18"/>
          <w:szCs w:val="18"/>
        </w:rPr>
        <w:t>*. Correlation is significant at the 0.05 level (2-tailed).</w:t>
      </w:r>
    </w:p>
    <w:sectPr w:rsidR="003C36F4" w:rsidRPr="00C751A0" w:rsidSect="00AF402C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02C"/>
    <w:rsid w:val="00153C19"/>
    <w:rsid w:val="003C36F4"/>
    <w:rsid w:val="008F1E45"/>
    <w:rsid w:val="00A671C1"/>
    <w:rsid w:val="00AF402C"/>
    <w:rsid w:val="00C751A0"/>
    <w:rsid w:val="00E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EDBB28"/>
  <w15:chartTrackingRefBased/>
  <w15:docId w15:val="{59ECC592-3534-4C77-B12E-415D1286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325</Words>
  <Characters>1607</Characters>
  <Application>Microsoft Office Word</Application>
  <DocSecurity>0</DocSecurity>
  <Lines>535</Lines>
  <Paragraphs>321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2</cp:revision>
  <dcterms:created xsi:type="dcterms:W3CDTF">2024-02-23T17:29:00Z</dcterms:created>
  <dcterms:modified xsi:type="dcterms:W3CDTF">2024-02-25T08:46:00Z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60cda22e-218e-4de9-9233-75620c1dc314</vt:lpwstr>
  </property>
</Properties>
</file>