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210" w14:textId="1AB8FC0F" w:rsidR="002D1675" w:rsidRPr="002D1675" w:rsidRDefault="002D1675" w:rsidP="007F45D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1675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</w:p>
    <w:p w14:paraId="2D24C8D0" w14:textId="77777777" w:rsidR="002D1675" w:rsidRDefault="002D1675" w:rsidP="007F45D8">
      <w:pPr>
        <w:spacing w:line="480" w:lineRule="auto"/>
        <w:rPr>
          <w:rFonts w:ascii="Times New Roman" w:hAnsi="Times New Roman" w:cs="Times New Roman"/>
          <w:color w:val="3333FF"/>
          <w:sz w:val="24"/>
          <w:szCs w:val="24"/>
        </w:rPr>
      </w:pPr>
    </w:p>
    <w:p w14:paraId="0D96D965" w14:textId="4D3CCDF5" w:rsidR="00401A03" w:rsidRPr="000E26AB" w:rsidRDefault="00401A03" w:rsidP="007F45D8">
      <w:pPr>
        <w:spacing w:line="48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 w:rsidRPr="000E26AB">
        <w:rPr>
          <w:rFonts w:ascii="Times New Roman" w:hAnsi="Times New Roman" w:cs="Times New Roman"/>
          <w:b/>
          <w:bCs/>
          <w:color w:val="3333FF"/>
          <w:sz w:val="24"/>
          <w:szCs w:val="24"/>
        </w:rPr>
        <w:t>Text S1</w:t>
      </w:r>
      <w:r w:rsidR="009723E4" w:rsidRPr="000E26AB"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</w:t>
      </w:r>
      <w:r w:rsidR="00161A8A" w:rsidRPr="000E26AB">
        <w:rPr>
          <w:rFonts w:ascii="Times New Roman" w:hAnsi="Times New Roman" w:cs="Times New Roman"/>
          <w:b/>
          <w:bCs/>
          <w:sz w:val="24"/>
          <w:szCs w:val="24"/>
        </w:rPr>
        <w:t xml:space="preserve">Modified </w:t>
      </w:r>
      <w:r w:rsidR="00DB283C" w:rsidRPr="000E26AB">
        <w:rPr>
          <w:rFonts w:ascii="Times New Roman" w:hAnsi="Times New Roman" w:cs="Times New Roman"/>
          <w:b/>
          <w:bCs/>
          <w:sz w:val="24"/>
          <w:szCs w:val="24"/>
        </w:rPr>
        <w:t>molecular</w:t>
      </w:r>
      <w:r w:rsidR="00161A8A" w:rsidRPr="000E26AB">
        <w:rPr>
          <w:rFonts w:ascii="Times New Roman" w:hAnsi="Times New Roman" w:cs="Times New Roman"/>
          <w:b/>
          <w:bCs/>
          <w:sz w:val="24"/>
          <w:szCs w:val="24"/>
        </w:rPr>
        <w:t xml:space="preserve"> docking and function</w:t>
      </w:r>
      <w:r w:rsidR="00DB283C" w:rsidRPr="000E26AB">
        <w:rPr>
          <w:rFonts w:ascii="Times New Roman" w:hAnsi="Times New Roman" w:cs="Times New Roman"/>
          <w:b/>
          <w:bCs/>
          <w:sz w:val="24"/>
          <w:szCs w:val="24"/>
        </w:rPr>
        <w:t xml:space="preserve"> predictions</w:t>
      </w:r>
      <w:r w:rsidR="00161A8A" w:rsidRPr="000E26AB">
        <w:rPr>
          <w:rFonts w:ascii="Times New Roman" w:hAnsi="Times New Roman" w:cs="Times New Roman"/>
          <w:b/>
          <w:bCs/>
          <w:sz w:val="24"/>
          <w:szCs w:val="24"/>
        </w:rPr>
        <w:t xml:space="preserve"> of viral proteins</w:t>
      </w:r>
    </w:p>
    <w:p w14:paraId="49D65909" w14:textId="610A4AD4" w:rsidR="00161A8A" w:rsidRDefault="00161A8A" w:rsidP="00161A8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sz w:val="24"/>
          <w:szCs w:val="24"/>
        </w:rPr>
        <w:t xml:space="preserve">Computational docking tools, including PyRx (v.08), QuickVina2, and BIOVIA Discovery Studio (v.21.1), were used for molecular docking and interaction analyses following the modified approach of </w:t>
      </w:r>
      <w:r w:rsidRPr="009723E4">
        <w:rPr>
          <w:rFonts w:ascii="Times New Roman" w:hAnsi="Times New Roman" w:cs="Times New Roman"/>
          <w:color w:val="3333FF"/>
          <w:sz w:val="24"/>
          <w:szCs w:val="24"/>
        </w:rPr>
        <w:t>Kuo et al. (2023)</w:t>
      </w:r>
      <w:r w:rsidR="00FA1F0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723E4">
        <w:rPr>
          <w:rFonts w:ascii="Times New Roman" w:hAnsi="Times New Roman" w:cs="Times New Roman"/>
          <w:sz w:val="24"/>
          <w:szCs w:val="24"/>
        </w:rPr>
        <w:t xml:space="preserve">. The modified approach involved blind docking of each target structural protein with the antiviral drug remdesivir using PyRx, and the generated binding configuration was further utilized for batch docking </w:t>
      </w:r>
      <w:r w:rsidR="00D4709D" w:rsidRPr="009723E4">
        <w:rPr>
          <w:rFonts w:ascii="Times New Roman" w:hAnsi="Times New Roman" w:cs="Times New Roman"/>
          <w:sz w:val="24"/>
          <w:szCs w:val="24"/>
        </w:rPr>
        <w:t>with</w:t>
      </w:r>
      <w:r w:rsidRPr="009723E4">
        <w:rPr>
          <w:rFonts w:ascii="Times New Roman" w:hAnsi="Times New Roman" w:cs="Times New Roman"/>
          <w:sz w:val="24"/>
          <w:szCs w:val="24"/>
        </w:rPr>
        <w:t xml:space="preserve"> QuickVina2. The ligand structures of </w:t>
      </w:r>
      <w:r w:rsidR="00745971">
        <w:rPr>
          <w:rFonts w:ascii="Times New Roman" w:hAnsi="Times New Roman" w:cs="Times New Roman"/>
          <w:sz w:val="24"/>
          <w:szCs w:val="24"/>
        </w:rPr>
        <w:t>chemical disinfectants</w:t>
      </w:r>
      <w:r w:rsidRPr="009723E4">
        <w:rPr>
          <w:rFonts w:ascii="Times New Roman" w:hAnsi="Times New Roman" w:cs="Times New Roman"/>
          <w:sz w:val="24"/>
          <w:szCs w:val="24"/>
        </w:rPr>
        <w:t xml:space="preserve"> (SDF format) were obtained from the NCBI PubChem database, and protein structures (PDB format) were obtained from the RCSB PDB database. Remdesivir  was used as a benchmark to establish the antiviral efficacy of </w:t>
      </w:r>
      <w:r w:rsidR="00745971">
        <w:rPr>
          <w:rFonts w:ascii="Times New Roman" w:hAnsi="Times New Roman" w:cs="Times New Roman"/>
          <w:sz w:val="24"/>
          <w:szCs w:val="24"/>
        </w:rPr>
        <w:t>disinfectants</w:t>
      </w:r>
      <w:r w:rsidRPr="009723E4">
        <w:rPr>
          <w:rFonts w:ascii="Times New Roman" w:hAnsi="Times New Roman" w:cs="Times New Roman"/>
          <w:sz w:val="24"/>
          <w:szCs w:val="24"/>
        </w:rPr>
        <w:t xml:space="preserve"> against diverse viruses.</w:t>
      </w:r>
    </w:p>
    <w:p w14:paraId="0A8792F1" w14:textId="77777777" w:rsidR="002D1675" w:rsidRDefault="002D1675" w:rsidP="007F4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36DB0A" w14:textId="25B421F6" w:rsidR="005F75AE" w:rsidRPr="000E26AB" w:rsidRDefault="00EB1DF1" w:rsidP="007F45D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6AB">
        <w:rPr>
          <w:rFonts w:ascii="Times New Roman" w:hAnsi="Times New Roman" w:cs="Times New Roman"/>
          <w:b/>
          <w:bCs/>
          <w:color w:val="3333FF"/>
          <w:sz w:val="24"/>
          <w:szCs w:val="24"/>
        </w:rPr>
        <w:t>Text S</w:t>
      </w:r>
      <w:r w:rsidR="00401A03" w:rsidRPr="000E26AB">
        <w:rPr>
          <w:rFonts w:ascii="Times New Roman" w:hAnsi="Times New Roman" w:cs="Times New Roman"/>
          <w:b/>
          <w:bCs/>
          <w:color w:val="3333FF"/>
          <w:sz w:val="24"/>
          <w:szCs w:val="24"/>
        </w:rPr>
        <w:t>2</w:t>
      </w:r>
      <w:r w:rsidRPr="000E26AB"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</w:t>
      </w:r>
      <w:r w:rsidR="007F45D8" w:rsidRPr="000E26AB">
        <w:rPr>
          <w:rFonts w:ascii="Times New Roman" w:hAnsi="Times New Roman" w:cs="Times New Roman"/>
          <w:b/>
          <w:bCs/>
          <w:sz w:val="24"/>
          <w:szCs w:val="24"/>
        </w:rPr>
        <w:t>Proposed eco-pharmaco-economic analysis (EPEA) of disinfectants</w:t>
      </w:r>
    </w:p>
    <w:p w14:paraId="17AA63CE" w14:textId="16BBEDD2" w:rsidR="007F45D8" w:rsidRPr="009723E4" w:rsidRDefault="007F45D8" w:rsidP="007F45D8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sz w:val="24"/>
          <w:szCs w:val="24"/>
        </w:rPr>
        <w:t>The eco-pharmaco-economic analysis (EPEA) involved a combination of Weighted Score Method (WSM) and Multicriteria Decision Analysis (MCDA): Six critical environmental and safety profiles w</w:t>
      </w:r>
      <w:r w:rsidR="003F6038">
        <w:rPr>
          <w:rFonts w:ascii="Times New Roman" w:hAnsi="Times New Roman" w:cs="Times New Roman"/>
          <w:sz w:val="24"/>
          <w:szCs w:val="24"/>
        </w:rPr>
        <w:t>ere</w:t>
      </w:r>
      <w:r w:rsidRPr="009723E4">
        <w:rPr>
          <w:rFonts w:ascii="Times New Roman" w:hAnsi="Times New Roman" w:cs="Times New Roman"/>
          <w:sz w:val="24"/>
          <w:szCs w:val="24"/>
        </w:rPr>
        <w:t xml:space="preserve"> conducted for the </w:t>
      </w:r>
      <w:r w:rsidR="003F6038">
        <w:rPr>
          <w:rFonts w:ascii="Times New Roman" w:hAnsi="Times New Roman" w:cs="Times New Roman"/>
          <w:sz w:val="24"/>
          <w:szCs w:val="24"/>
        </w:rPr>
        <w:t>most effective chemical disinfectants</w:t>
      </w:r>
      <w:r w:rsidRPr="009723E4">
        <w:rPr>
          <w:rFonts w:ascii="Times New Roman" w:hAnsi="Times New Roman" w:cs="Times New Roman"/>
          <w:sz w:val="24"/>
          <w:szCs w:val="24"/>
        </w:rPr>
        <w:t xml:space="preserve">, employing the US EPA Estimation Program Interface (EPI) Suite (v4.11). These profiles included the atmospheric hydroxylation rate (logOH), soil adsorption coefficient (logKoc), fish biotransformation half-life (HLN), bioconcentration factor (logBCF), bioaccumulation factor (logBAF), and biodegradation half-life (DT50). The outcomes of these profiles were classified into three tiers (i.e., safe, mild, </w:t>
      </w:r>
      <w:r w:rsidRPr="009723E4">
        <w:rPr>
          <w:rFonts w:ascii="Times New Roman" w:hAnsi="Times New Roman" w:cs="Times New Roman"/>
          <w:sz w:val="24"/>
          <w:szCs w:val="24"/>
        </w:rPr>
        <w:lastRenderedPageBreak/>
        <w:t>and danger) according to criteria derived from established environmental and toxicological benchmarks integrated within the EPI Suite. This stratification facilitated a detailed assessment of their specific ecological and health-related effects, thereby providing a nuanced understanding of the potential risks associated with each profile. For each profile, a categorical scoring system was proposed (safe, 1; mild, 2; and danger, 3). The cumulative scores of these categories were then compared with the maximum possible score (max. Categorical score (3) × number of impact profiles (6)). This comparison is expressed as a percentage to ascertain the overall environmental impact, as illustrated in Equation (1):</w:t>
      </w:r>
    </w:p>
    <w:p w14:paraId="7EC3978B" w14:textId="074B6419" w:rsidR="007F45D8" w:rsidRPr="009723E4" w:rsidRDefault="007F45D8" w:rsidP="007F4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i/>
          <w:iCs/>
          <w:sz w:val="24"/>
          <w:szCs w:val="24"/>
        </w:rPr>
        <w:t>Environmental Impact (EI, %) = (Tot. Profile Score / Max. Assigned Score) x 100%</w:t>
      </w:r>
      <w:r w:rsidRPr="009723E4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9723E4">
        <w:rPr>
          <w:rFonts w:ascii="Times New Roman" w:hAnsi="Times New Roman" w:cs="Times New Roman"/>
          <w:color w:val="3333FF"/>
          <w:sz w:val="24"/>
          <w:szCs w:val="24"/>
        </w:rPr>
        <w:t>Eq.1</w:t>
      </w:r>
      <w:r w:rsidRPr="009723E4">
        <w:rPr>
          <w:rFonts w:ascii="Times New Roman" w:hAnsi="Times New Roman" w:cs="Times New Roman"/>
          <w:sz w:val="24"/>
          <w:szCs w:val="24"/>
        </w:rPr>
        <w:t>)</w:t>
      </w:r>
    </w:p>
    <w:p w14:paraId="3099BB2A" w14:textId="77777777" w:rsidR="007F45D8" w:rsidRPr="009723E4" w:rsidRDefault="007F45D8" w:rsidP="007F45D8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sz w:val="24"/>
          <w:szCs w:val="24"/>
        </w:rPr>
        <w:t xml:space="preserve">Where: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EI</w:t>
      </w:r>
      <w:r w:rsidRPr="009723E4">
        <w:rPr>
          <w:rFonts w:ascii="Times New Roman" w:hAnsi="Times New Roman" w:cs="Times New Roman"/>
          <w:sz w:val="24"/>
          <w:szCs w:val="24"/>
        </w:rPr>
        <w:t xml:space="preserve"> utilized the WSM and delineated into three classifications: safe (≤ 33.33%), mild (33.34-66.66%), and danger (≥66.67%).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Tot. Profile Score</w:t>
      </w:r>
      <w:r w:rsidRPr="009723E4">
        <w:rPr>
          <w:rFonts w:ascii="Times New Roman" w:hAnsi="Times New Roman" w:cs="Times New Roman"/>
          <w:sz w:val="24"/>
          <w:szCs w:val="24"/>
        </w:rPr>
        <w:t xml:space="preserve"> refers to the aggregated scores from the six environmental profiles, while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Max. Assigned Score</w:t>
      </w:r>
      <w:r w:rsidRPr="009723E4">
        <w:rPr>
          <w:rFonts w:ascii="Times New Roman" w:hAnsi="Times New Roman" w:cs="Times New Roman"/>
          <w:sz w:val="24"/>
          <w:szCs w:val="24"/>
        </w:rPr>
        <w:t xml:space="preserve"> indicates the highest possible score. </w:t>
      </w:r>
    </w:p>
    <w:p w14:paraId="14AE03EA" w14:textId="2A922E89" w:rsidR="007F45D8" w:rsidRPr="009723E4" w:rsidRDefault="007F45D8" w:rsidP="007F4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sz w:val="24"/>
          <w:szCs w:val="24"/>
        </w:rPr>
        <w:t xml:space="preserve">Moreover, the cost-effectiveness of prominent </w:t>
      </w:r>
      <w:r w:rsidR="00DF72BA">
        <w:rPr>
          <w:rFonts w:ascii="Times New Roman" w:hAnsi="Times New Roman" w:cs="Times New Roman"/>
          <w:sz w:val="24"/>
          <w:szCs w:val="24"/>
        </w:rPr>
        <w:t>disinfectant</w:t>
      </w:r>
      <w:r w:rsidRPr="009723E4">
        <w:rPr>
          <w:rFonts w:ascii="Times New Roman" w:hAnsi="Times New Roman" w:cs="Times New Roman"/>
          <w:sz w:val="24"/>
          <w:szCs w:val="24"/>
        </w:rPr>
        <w:t xml:space="preserve"> was evaluated. Prices per kilogram (US$/kg) for the most effective </w:t>
      </w:r>
      <w:r w:rsidR="00DF72BA">
        <w:rPr>
          <w:rFonts w:ascii="Times New Roman" w:hAnsi="Times New Roman" w:cs="Times New Roman"/>
          <w:sz w:val="24"/>
          <w:szCs w:val="24"/>
        </w:rPr>
        <w:t>chemicals</w:t>
      </w:r>
      <w:r w:rsidRPr="009723E4">
        <w:rPr>
          <w:rFonts w:ascii="Times New Roman" w:hAnsi="Times New Roman" w:cs="Times New Roman"/>
          <w:sz w:val="24"/>
          <w:szCs w:val="24"/>
        </w:rPr>
        <w:t xml:space="preserve"> were sourced from Chemicalbook</w:t>
      </w:r>
      <w:r w:rsidR="00DB3A93" w:rsidRPr="009723E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9723E4">
        <w:rPr>
          <w:rFonts w:ascii="Times New Roman" w:hAnsi="Times New Roman" w:cs="Times New Roman"/>
          <w:sz w:val="24"/>
          <w:szCs w:val="24"/>
        </w:rPr>
        <w:t xml:space="preserve">, and </w:t>
      </w:r>
      <w:r w:rsidR="00E511E2">
        <w:rPr>
          <w:rFonts w:ascii="Times New Roman" w:hAnsi="Times New Roman" w:cs="Times New Roman"/>
          <w:sz w:val="24"/>
          <w:szCs w:val="24"/>
        </w:rPr>
        <w:t xml:space="preserve">the price for </w:t>
      </w:r>
      <w:r w:rsidRPr="009723E4">
        <w:rPr>
          <w:rFonts w:ascii="Times New Roman" w:hAnsi="Times New Roman" w:cs="Times New Roman"/>
          <w:sz w:val="24"/>
          <w:szCs w:val="24"/>
        </w:rPr>
        <w:t>remdesivir w</w:t>
      </w:r>
      <w:r w:rsidR="003F6038">
        <w:rPr>
          <w:rFonts w:ascii="Times New Roman" w:hAnsi="Times New Roman" w:cs="Times New Roman"/>
          <w:sz w:val="24"/>
          <w:szCs w:val="24"/>
        </w:rPr>
        <w:t>as</w:t>
      </w:r>
      <w:r w:rsidRPr="009723E4">
        <w:rPr>
          <w:rFonts w:ascii="Times New Roman" w:hAnsi="Times New Roman" w:cs="Times New Roman"/>
          <w:sz w:val="24"/>
          <w:szCs w:val="24"/>
        </w:rPr>
        <w:t xml:space="preserve"> acquired from Gilead Sciences</w:t>
      </w:r>
      <w:r w:rsidR="00DB3A93" w:rsidRPr="009723E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F72BA">
        <w:rPr>
          <w:rFonts w:ascii="Times New Roman" w:hAnsi="Times New Roman" w:cs="Times New Roman"/>
          <w:sz w:val="24"/>
          <w:szCs w:val="24"/>
        </w:rPr>
        <w:t xml:space="preserve">. </w:t>
      </w:r>
      <w:r w:rsidRPr="009723E4">
        <w:rPr>
          <w:rFonts w:ascii="Times New Roman" w:hAnsi="Times New Roman" w:cs="Times New Roman"/>
          <w:sz w:val="24"/>
          <w:szCs w:val="24"/>
        </w:rPr>
        <w:t xml:space="preserve">The cumulative performance of each </w:t>
      </w:r>
      <w:r w:rsidR="00E511E2">
        <w:rPr>
          <w:rFonts w:ascii="Times New Roman" w:hAnsi="Times New Roman" w:cs="Times New Roman"/>
          <w:sz w:val="24"/>
          <w:szCs w:val="24"/>
        </w:rPr>
        <w:t>chemical</w:t>
      </w:r>
      <w:r w:rsidRPr="009723E4">
        <w:rPr>
          <w:rFonts w:ascii="Times New Roman" w:hAnsi="Times New Roman" w:cs="Times New Roman"/>
          <w:sz w:val="24"/>
          <w:szCs w:val="24"/>
        </w:rPr>
        <w:t>, including affordability (</w:t>
      </w:r>
      <w:r w:rsidRPr="009723E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723E4">
        <w:rPr>
          <w:rFonts w:ascii="Times New Roman" w:hAnsi="Times New Roman" w:cs="Times New Roman"/>
          <w:sz w:val="24"/>
          <w:szCs w:val="24"/>
        </w:rPr>
        <w:t>), environmental safety (</w:t>
      </w:r>
      <w:r w:rsidRPr="009723E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723E4">
        <w:rPr>
          <w:rFonts w:ascii="Times New Roman" w:hAnsi="Times New Roman" w:cs="Times New Roman"/>
          <w:sz w:val="24"/>
          <w:szCs w:val="24"/>
        </w:rPr>
        <w:t>), and antiviral efficacy (</w:t>
      </w:r>
      <w:r w:rsidRPr="009723E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723E4">
        <w:rPr>
          <w:rFonts w:ascii="Times New Roman" w:hAnsi="Times New Roman" w:cs="Times New Roman"/>
          <w:sz w:val="24"/>
          <w:szCs w:val="24"/>
        </w:rPr>
        <w:t>), was ranked in ascending order by using MCDA. This ranking was established to highlight the overall performance (</w:t>
      </w:r>
      <w:r w:rsidRPr="009723E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723E4">
        <w:rPr>
          <w:rFonts w:ascii="Times New Roman" w:hAnsi="Times New Roman" w:cs="Times New Roman"/>
          <w:sz w:val="24"/>
          <w:szCs w:val="24"/>
        </w:rPr>
        <w:t xml:space="preserve">) of each </w:t>
      </w:r>
      <w:r w:rsidR="003F6038">
        <w:rPr>
          <w:rFonts w:ascii="Times New Roman" w:hAnsi="Times New Roman" w:cs="Times New Roman"/>
          <w:sz w:val="24"/>
          <w:szCs w:val="24"/>
        </w:rPr>
        <w:t>chemical</w:t>
      </w:r>
      <w:r w:rsidRPr="009723E4">
        <w:rPr>
          <w:rFonts w:ascii="Times New Roman" w:hAnsi="Times New Roman" w:cs="Times New Roman"/>
          <w:sz w:val="24"/>
          <w:szCs w:val="24"/>
        </w:rPr>
        <w:t>, using proposed Equation (2):</w:t>
      </w:r>
    </w:p>
    <w:p w14:paraId="72D8F0AF" w14:textId="5E3E6271" w:rsidR="007F45D8" w:rsidRPr="009723E4" w:rsidRDefault="007F45D8" w:rsidP="007F4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i/>
          <w:iCs/>
          <w:sz w:val="24"/>
          <w:szCs w:val="24"/>
        </w:rPr>
        <w:t>O(%) =  wE x Enorm + wS x Snorm + wC  x Cnorm</w:t>
      </w:r>
      <w:r w:rsidRPr="009723E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    </w:t>
      </w:r>
      <w:r w:rsidRPr="009723E4">
        <w:rPr>
          <w:rFonts w:ascii="Times New Roman" w:hAnsi="Times New Roman" w:cs="Times New Roman"/>
          <w:sz w:val="24"/>
          <w:szCs w:val="24"/>
        </w:rPr>
        <w:t>(</w:t>
      </w:r>
      <w:r w:rsidRPr="009723E4">
        <w:rPr>
          <w:rFonts w:ascii="Times New Roman" w:hAnsi="Times New Roman" w:cs="Times New Roman"/>
          <w:color w:val="3333FF"/>
          <w:sz w:val="24"/>
          <w:szCs w:val="24"/>
        </w:rPr>
        <w:t>Eq.2</w:t>
      </w:r>
      <w:r w:rsidRPr="009723E4">
        <w:rPr>
          <w:rFonts w:ascii="Times New Roman" w:hAnsi="Times New Roman" w:cs="Times New Roman"/>
          <w:sz w:val="24"/>
          <w:szCs w:val="24"/>
        </w:rPr>
        <w:t>)</w:t>
      </w:r>
    </w:p>
    <w:p w14:paraId="07967120" w14:textId="77777777" w:rsidR="007F45D8" w:rsidRPr="009723E4" w:rsidRDefault="007F45D8" w:rsidP="007F45D8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sz w:val="24"/>
          <w:szCs w:val="24"/>
        </w:rPr>
        <w:lastRenderedPageBreak/>
        <w:t xml:space="preserve">Where: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Pr="009723E4">
        <w:rPr>
          <w:rFonts w:ascii="Times New Roman" w:hAnsi="Times New Roman" w:cs="Times New Roman"/>
          <w:sz w:val="24"/>
          <w:szCs w:val="24"/>
        </w:rPr>
        <w:t xml:space="preserve">,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wS</w:t>
      </w:r>
      <w:r w:rsidRPr="009723E4">
        <w:rPr>
          <w:rFonts w:ascii="Times New Roman" w:hAnsi="Times New Roman" w:cs="Times New Roman"/>
          <w:sz w:val="24"/>
          <w:szCs w:val="24"/>
        </w:rPr>
        <w:t xml:space="preserve">, and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wC</w:t>
      </w:r>
      <w:r w:rsidRPr="009723E4">
        <w:rPr>
          <w:rFonts w:ascii="Times New Roman" w:hAnsi="Times New Roman" w:cs="Times New Roman"/>
          <w:sz w:val="24"/>
          <w:szCs w:val="24"/>
        </w:rPr>
        <w:t xml:space="preserve"> signify the weighted contributions of antiviral efficacy, environmental safety, and cost, respectively. Equal weights were allocated to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723E4">
        <w:rPr>
          <w:rFonts w:ascii="Times New Roman" w:hAnsi="Times New Roman" w:cs="Times New Roman"/>
          <w:sz w:val="24"/>
          <w:szCs w:val="24"/>
        </w:rPr>
        <w:t xml:space="preserve">,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723E4">
        <w:rPr>
          <w:rFonts w:ascii="Times New Roman" w:hAnsi="Times New Roman" w:cs="Times New Roman"/>
          <w:sz w:val="24"/>
          <w:szCs w:val="24"/>
        </w:rPr>
        <w:t xml:space="preserve"> and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723E4">
        <w:rPr>
          <w:rFonts w:ascii="Times New Roman" w:hAnsi="Times New Roman" w:cs="Times New Roman"/>
          <w:sz w:val="24"/>
          <w:szCs w:val="24"/>
        </w:rPr>
        <w:t xml:space="preserve"> (i.e.,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wE + wS + wC = 1</w:t>
      </w:r>
      <w:r w:rsidRPr="009723E4">
        <w:rPr>
          <w:rFonts w:ascii="Times New Roman" w:hAnsi="Times New Roman" w:cs="Times New Roman"/>
          <w:sz w:val="24"/>
          <w:szCs w:val="24"/>
        </w:rPr>
        <w:t xml:space="preserve"> or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1/3E + 1/3S + 1/3C =1</w:t>
      </w:r>
      <w:r w:rsidRPr="009723E4">
        <w:rPr>
          <w:rFonts w:ascii="Times New Roman" w:hAnsi="Times New Roman" w:cs="Times New Roman"/>
          <w:sz w:val="24"/>
          <w:szCs w:val="24"/>
        </w:rPr>
        <w:t xml:space="preserve">) and normalized to a uniform scale (0 to 100) using proposed Equations (3), (4), and (5). </w:t>
      </w:r>
    </w:p>
    <w:p w14:paraId="317E7C5E" w14:textId="0DA9439F" w:rsidR="007F45D8" w:rsidRPr="009723E4" w:rsidRDefault="007F45D8" w:rsidP="007F4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i/>
          <w:iCs/>
          <w:sz w:val="24"/>
          <w:szCs w:val="24"/>
        </w:rPr>
        <w:t>Enorm = E - min(E) / max(E) - min(E) x 100</w:t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(</w:t>
      </w:r>
      <w:r w:rsidRPr="009723E4">
        <w:rPr>
          <w:rFonts w:ascii="Times New Roman" w:hAnsi="Times New Roman" w:cs="Times New Roman"/>
          <w:color w:val="3333FF"/>
          <w:sz w:val="24"/>
          <w:szCs w:val="24"/>
        </w:rPr>
        <w:t>Eq.3</w:t>
      </w:r>
      <w:r w:rsidRPr="009723E4">
        <w:rPr>
          <w:rFonts w:ascii="Times New Roman" w:hAnsi="Times New Roman" w:cs="Times New Roman"/>
          <w:sz w:val="24"/>
          <w:szCs w:val="24"/>
        </w:rPr>
        <w:t>)</w:t>
      </w:r>
    </w:p>
    <w:p w14:paraId="5C75EE46" w14:textId="77777777" w:rsidR="007F45D8" w:rsidRPr="009723E4" w:rsidRDefault="007F45D8" w:rsidP="007F45D8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sz w:val="24"/>
          <w:szCs w:val="24"/>
        </w:rPr>
        <w:t xml:space="preserve">Where: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723E4">
        <w:rPr>
          <w:rFonts w:ascii="Times New Roman" w:hAnsi="Times New Roman" w:cs="Times New Roman"/>
          <w:sz w:val="24"/>
          <w:szCs w:val="24"/>
        </w:rPr>
        <w:t xml:space="preserve"> represents the LBE of a chemical with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min(E)</w:t>
      </w:r>
      <w:r w:rsidRPr="009723E4">
        <w:rPr>
          <w:rFonts w:ascii="Times New Roman" w:hAnsi="Times New Roman" w:cs="Times New Roman"/>
          <w:sz w:val="24"/>
          <w:szCs w:val="24"/>
        </w:rPr>
        <w:t xml:space="preserve"> and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max(E)</w:t>
      </w:r>
      <w:r w:rsidRPr="009723E4">
        <w:rPr>
          <w:rFonts w:ascii="Times New Roman" w:hAnsi="Times New Roman" w:cs="Times New Roman"/>
          <w:sz w:val="24"/>
          <w:szCs w:val="24"/>
        </w:rPr>
        <w:t xml:space="preserve"> denoting the most negative and least negative LBE values in the dataset, respectively. This normalization ensures that a score of 100 corresponds to the highest efficacy (most negative LBE), whereas a score of 0 indicates the lowest efficacy.</w:t>
      </w:r>
    </w:p>
    <w:p w14:paraId="3342E240" w14:textId="3193E9ED" w:rsidR="007F45D8" w:rsidRPr="009723E4" w:rsidRDefault="007F45D8" w:rsidP="007F4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i/>
          <w:iCs/>
          <w:sz w:val="24"/>
          <w:szCs w:val="24"/>
        </w:rPr>
        <w:t>Snorm = 100 - (S - min(S) / max(S) - min(S) x 100)</w:t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9723E4">
        <w:rPr>
          <w:rFonts w:ascii="Times New Roman" w:hAnsi="Times New Roman" w:cs="Times New Roman"/>
          <w:color w:val="3333FF"/>
          <w:sz w:val="24"/>
          <w:szCs w:val="24"/>
        </w:rPr>
        <w:t>Eq.4</w:t>
      </w:r>
      <w:r w:rsidRPr="009723E4">
        <w:rPr>
          <w:rFonts w:ascii="Times New Roman" w:hAnsi="Times New Roman" w:cs="Times New Roman"/>
          <w:sz w:val="24"/>
          <w:szCs w:val="24"/>
        </w:rPr>
        <w:t>)</w:t>
      </w:r>
    </w:p>
    <w:p w14:paraId="27EE7D87" w14:textId="77777777" w:rsidR="007F45D8" w:rsidRPr="009723E4" w:rsidRDefault="007F45D8" w:rsidP="007F45D8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sz w:val="24"/>
          <w:szCs w:val="24"/>
        </w:rPr>
        <w:t xml:space="preserve">Where: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723E4">
        <w:rPr>
          <w:rFonts w:ascii="Times New Roman" w:hAnsi="Times New Roman" w:cs="Times New Roman"/>
          <w:sz w:val="24"/>
          <w:szCs w:val="24"/>
        </w:rPr>
        <w:t xml:space="preserve"> refers to the environmental safety of a chemical as determined by its impact assessment percentage.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min(S)</w:t>
      </w:r>
      <w:r w:rsidRPr="009723E4">
        <w:rPr>
          <w:rFonts w:ascii="Times New Roman" w:hAnsi="Times New Roman" w:cs="Times New Roman"/>
          <w:sz w:val="24"/>
          <w:szCs w:val="24"/>
        </w:rPr>
        <w:t xml:space="preserve"> and </w:t>
      </w:r>
      <w:r w:rsidRPr="003F6038">
        <w:rPr>
          <w:rFonts w:ascii="Times New Roman" w:hAnsi="Times New Roman" w:cs="Times New Roman"/>
          <w:i/>
          <w:iCs/>
          <w:sz w:val="24"/>
          <w:szCs w:val="24"/>
        </w:rPr>
        <w:t>max(S)</w:t>
      </w:r>
      <w:r w:rsidRPr="009723E4">
        <w:rPr>
          <w:rFonts w:ascii="Times New Roman" w:hAnsi="Times New Roman" w:cs="Times New Roman"/>
          <w:sz w:val="24"/>
          <w:szCs w:val="24"/>
        </w:rPr>
        <w:t xml:space="preserve"> are the lowest and highest impact percentages in the dataset, indicating the best and worst safety profiles, respectively. A lower impact percentage is synonymous with a better safety profile.</w:t>
      </w:r>
    </w:p>
    <w:p w14:paraId="03527A70" w14:textId="216C9AB7" w:rsidR="007F45D8" w:rsidRPr="009723E4" w:rsidRDefault="007F45D8" w:rsidP="007F4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i/>
          <w:iCs/>
          <w:sz w:val="24"/>
          <w:szCs w:val="24"/>
        </w:rPr>
        <w:t>Cnorm = 100 - (S - min(C) / max(C) - min(C) x 100)</w:t>
      </w:r>
      <w:r w:rsidRPr="009723E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</w:r>
      <w:r w:rsidRPr="009723E4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9723E4">
        <w:rPr>
          <w:rFonts w:ascii="Times New Roman" w:hAnsi="Times New Roman" w:cs="Times New Roman"/>
          <w:color w:val="3333FF"/>
          <w:sz w:val="24"/>
          <w:szCs w:val="24"/>
        </w:rPr>
        <w:t>Eq.5</w:t>
      </w:r>
      <w:r w:rsidRPr="009723E4">
        <w:rPr>
          <w:rFonts w:ascii="Times New Roman" w:hAnsi="Times New Roman" w:cs="Times New Roman"/>
          <w:sz w:val="24"/>
          <w:szCs w:val="24"/>
        </w:rPr>
        <w:t>)</w:t>
      </w:r>
    </w:p>
    <w:p w14:paraId="705C93F7" w14:textId="0E2FDEBA" w:rsidR="007F45D8" w:rsidRPr="009723E4" w:rsidRDefault="007F45D8" w:rsidP="007F45D8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23E4">
        <w:rPr>
          <w:rFonts w:ascii="Times New Roman" w:hAnsi="Times New Roman" w:cs="Times New Roman"/>
          <w:sz w:val="24"/>
          <w:szCs w:val="24"/>
        </w:rPr>
        <w:t xml:space="preserve">Where: </w:t>
      </w:r>
      <w:r w:rsidRPr="0018172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723E4">
        <w:rPr>
          <w:rFonts w:ascii="Times New Roman" w:hAnsi="Times New Roman" w:cs="Times New Roman"/>
          <w:sz w:val="24"/>
          <w:szCs w:val="24"/>
        </w:rPr>
        <w:t xml:space="preserve"> represents the cost of the chemical. </w:t>
      </w:r>
      <w:r w:rsidRPr="00181729">
        <w:rPr>
          <w:rFonts w:ascii="Times New Roman" w:hAnsi="Times New Roman" w:cs="Times New Roman"/>
          <w:i/>
          <w:iCs/>
          <w:sz w:val="24"/>
          <w:szCs w:val="24"/>
        </w:rPr>
        <w:t>min(C)</w:t>
      </w:r>
      <w:r w:rsidRPr="009723E4">
        <w:rPr>
          <w:rFonts w:ascii="Times New Roman" w:hAnsi="Times New Roman" w:cs="Times New Roman"/>
          <w:sz w:val="24"/>
          <w:szCs w:val="24"/>
        </w:rPr>
        <w:t xml:space="preserve"> and </w:t>
      </w:r>
      <w:r w:rsidRPr="00181729">
        <w:rPr>
          <w:rFonts w:ascii="Times New Roman" w:hAnsi="Times New Roman" w:cs="Times New Roman"/>
          <w:i/>
          <w:iCs/>
          <w:sz w:val="24"/>
          <w:szCs w:val="24"/>
        </w:rPr>
        <w:t>max(C)</w:t>
      </w:r>
      <w:r w:rsidRPr="009723E4">
        <w:rPr>
          <w:rFonts w:ascii="Times New Roman" w:hAnsi="Times New Roman" w:cs="Times New Roman"/>
          <w:sz w:val="24"/>
          <w:szCs w:val="24"/>
        </w:rPr>
        <w:t xml:space="preserve"> represent the lowest and highest costs in the dataset, respectively, with lower costs indicating higher affordability. This normalization ensures that a lower cost translates to a higher score, reflecting better affordability.</w:t>
      </w:r>
    </w:p>
    <w:p w14:paraId="194D152E" w14:textId="77777777" w:rsidR="005F75AE" w:rsidRDefault="005F75AE" w:rsidP="003C44C1">
      <w:pPr>
        <w:spacing w:line="240" w:lineRule="auto"/>
        <w:rPr>
          <w:rFonts w:ascii="Times New Roman" w:hAnsi="Times New Roman" w:cs="Times New Roman"/>
          <w:color w:val="3333FF"/>
          <w:sz w:val="20"/>
          <w:szCs w:val="20"/>
        </w:rPr>
      </w:pPr>
    </w:p>
    <w:p w14:paraId="409A8710" w14:textId="77777777" w:rsidR="009723E4" w:rsidRDefault="009723E4" w:rsidP="003C44C1">
      <w:pPr>
        <w:spacing w:line="240" w:lineRule="auto"/>
        <w:rPr>
          <w:rFonts w:ascii="Times New Roman" w:hAnsi="Times New Roman" w:cs="Times New Roman"/>
          <w:color w:val="3333FF"/>
          <w:sz w:val="20"/>
          <w:szCs w:val="20"/>
        </w:rPr>
      </w:pPr>
    </w:p>
    <w:p w14:paraId="3A2B644C" w14:textId="77777777" w:rsidR="009723E4" w:rsidRDefault="009723E4" w:rsidP="003C44C1">
      <w:pPr>
        <w:spacing w:line="240" w:lineRule="auto"/>
        <w:rPr>
          <w:rFonts w:ascii="Times New Roman" w:hAnsi="Times New Roman" w:cs="Times New Roman"/>
          <w:color w:val="3333FF"/>
          <w:sz w:val="20"/>
          <w:szCs w:val="20"/>
        </w:rPr>
      </w:pPr>
    </w:p>
    <w:p w14:paraId="5E5E2040" w14:textId="77777777" w:rsidR="009723E4" w:rsidRDefault="009723E4" w:rsidP="003C44C1">
      <w:pPr>
        <w:spacing w:line="240" w:lineRule="auto"/>
        <w:rPr>
          <w:rFonts w:ascii="Times New Roman" w:hAnsi="Times New Roman" w:cs="Times New Roman"/>
          <w:color w:val="3333FF"/>
          <w:sz w:val="20"/>
          <w:szCs w:val="20"/>
        </w:rPr>
      </w:pPr>
    </w:p>
    <w:p w14:paraId="529FF5FF" w14:textId="77777777" w:rsidR="002D1675" w:rsidRDefault="002D1675" w:rsidP="003C44C1">
      <w:pPr>
        <w:spacing w:line="240" w:lineRule="auto"/>
        <w:rPr>
          <w:rFonts w:ascii="Times New Roman" w:hAnsi="Times New Roman" w:cs="Times New Roman"/>
          <w:color w:val="3333FF"/>
          <w:sz w:val="20"/>
          <w:szCs w:val="20"/>
        </w:rPr>
      </w:pPr>
    </w:p>
    <w:p w14:paraId="37A78A86" w14:textId="4BE4A569" w:rsidR="00807C57" w:rsidRPr="00634016" w:rsidRDefault="00182AA1" w:rsidP="003C44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34016">
        <w:rPr>
          <w:rFonts w:ascii="Times New Roman" w:hAnsi="Times New Roman" w:cs="Times New Roman"/>
          <w:color w:val="3333FF"/>
          <w:sz w:val="20"/>
          <w:szCs w:val="20"/>
        </w:rPr>
        <w:lastRenderedPageBreak/>
        <w:t xml:space="preserve">Table S1  </w:t>
      </w:r>
      <w:r w:rsidR="00134676" w:rsidRPr="00634016">
        <w:rPr>
          <w:rFonts w:ascii="Times New Roman" w:hAnsi="Times New Roman" w:cs="Times New Roman"/>
          <w:sz w:val="20"/>
          <w:szCs w:val="20"/>
        </w:rPr>
        <w:t>Different categories of disinfectant and their chemicals</w:t>
      </w:r>
      <w:r w:rsidRPr="0063401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4480"/>
        <w:gridCol w:w="1479"/>
      </w:tblGrid>
      <w:tr w:rsidR="00182AA1" w:rsidRPr="00634016" w14:paraId="53D9BF97" w14:textId="77777777" w:rsidTr="000E26AB">
        <w:trPr>
          <w:trHeight w:val="262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A7EE7" w14:textId="77777777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32DB9" w14:textId="77777777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DE8D4" w14:textId="77777777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PubChemCID</w:t>
            </w:r>
          </w:p>
        </w:tc>
      </w:tr>
      <w:tr w:rsidR="00182AA1" w:rsidRPr="00634016" w14:paraId="00C30F24" w14:textId="77777777" w:rsidTr="000E26AB">
        <w:tc>
          <w:tcPr>
            <w:tcW w:w="1817" w:type="pct"/>
            <w:tcBorders>
              <w:top w:val="single" w:sz="4" w:space="0" w:color="auto"/>
            </w:tcBorders>
            <w:shd w:val="clear" w:color="auto" w:fill="auto"/>
          </w:tcPr>
          <w:p w14:paraId="6397F4FF" w14:textId="77777777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Alcohol-Based Disinfectants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shd w:val="clear" w:color="auto" w:fill="auto"/>
          </w:tcPr>
          <w:p w14:paraId="579EBF1D" w14:textId="77777777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Ethanol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</w:tcPr>
          <w:p w14:paraId="0016ABA2" w14:textId="77777777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702      </w:t>
            </w:r>
          </w:p>
        </w:tc>
      </w:tr>
      <w:tr w:rsidR="00182AA1" w:rsidRPr="00634016" w14:paraId="6EA01299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56288EC7" w14:textId="77777777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6CFA4059" w14:textId="77777777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Isopropanol</w:t>
            </w:r>
          </w:p>
        </w:tc>
        <w:tc>
          <w:tcPr>
            <w:tcW w:w="790" w:type="pct"/>
            <w:shd w:val="clear" w:color="auto" w:fill="auto"/>
          </w:tcPr>
          <w:p w14:paraId="57839961" w14:textId="2DC566BE" w:rsidR="00182AA1" w:rsidRPr="00634016" w:rsidRDefault="00182AA1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3776 </w:t>
            </w:r>
          </w:p>
        </w:tc>
      </w:tr>
      <w:tr w:rsidR="008D44BD" w:rsidRPr="00634016" w14:paraId="159C2560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52CF98D6" w14:textId="77777777" w:rsidR="008D44BD" w:rsidRPr="00634016" w:rsidRDefault="008D44B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0127345F" w14:textId="724C4DF2" w:rsidR="008D44BD" w:rsidRPr="00634016" w:rsidRDefault="00807C57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2,4-Dichlorobenzyl Alcohol</w:t>
            </w:r>
          </w:p>
        </w:tc>
        <w:tc>
          <w:tcPr>
            <w:tcW w:w="790" w:type="pct"/>
            <w:shd w:val="clear" w:color="auto" w:fill="auto"/>
          </w:tcPr>
          <w:p w14:paraId="5810BFD5" w14:textId="2A44B066" w:rsidR="008D44BD" w:rsidRPr="00634016" w:rsidRDefault="00807C57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15684</w:t>
            </w:r>
          </w:p>
        </w:tc>
      </w:tr>
      <w:tr w:rsidR="00807C57" w:rsidRPr="00634016" w14:paraId="459F0A51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64D75E30" w14:textId="004AF5D2" w:rsidR="00807C57" w:rsidRPr="00634016" w:rsidRDefault="00807C57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Aldehydes</w:t>
            </w:r>
          </w:p>
        </w:tc>
        <w:tc>
          <w:tcPr>
            <w:tcW w:w="2393" w:type="pct"/>
            <w:shd w:val="clear" w:color="auto" w:fill="auto"/>
          </w:tcPr>
          <w:p w14:paraId="35454090" w14:textId="454DC8F2" w:rsidR="00807C57" w:rsidRPr="00634016" w:rsidRDefault="00807C57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Formaldehyde</w:t>
            </w:r>
          </w:p>
        </w:tc>
        <w:tc>
          <w:tcPr>
            <w:tcW w:w="790" w:type="pct"/>
            <w:shd w:val="clear" w:color="auto" w:fill="auto"/>
          </w:tcPr>
          <w:p w14:paraId="3CCAA815" w14:textId="5FF2E535" w:rsidR="00807C57" w:rsidRPr="00634016" w:rsidRDefault="00807C57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712         </w:t>
            </w:r>
          </w:p>
        </w:tc>
      </w:tr>
      <w:tr w:rsidR="00807C57" w:rsidRPr="00634016" w14:paraId="75DE2484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5A0AB330" w14:textId="77777777" w:rsidR="00807C57" w:rsidRPr="00634016" w:rsidRDefault="00807C57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678929B1" w14:textId="5422BAAA" w:rsidR="00807C57" w:rsidRPr="00634016" w:rsidRDefault="00807C57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Glutaraldehyde</w:t>
            </w:r>
          </w:p>
        </w:tc>
        <w:tc>
          <w:tcPr>
            <w:tcW w:w="790" w:type="pct"/>
            <w:shd w:val="clear" w:color="auto" w:fill="auto"/>
          </w:tcPr>
          <w:p w14:paraId="14114704" w14:textId="04500FC4" w:rsidR="00807C57" w:rsidRPr="00634016" w:rsidRDefault="00807C57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3485       </w:t>
            </w:r>
          </w:p>
        </w:tc>
      </w:tr>
      <w:tr w:rsidR="00807C57" w:rsidRPr="00634016" w14:paraId="4153B39D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2D55748E" w14:textId="76EF6465" w:rsidR="00807C57" w:rsidRPr="00634016" w:rsidRDefault="00807C57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Antiviral drug</w:t>
            </w:r>
            <w:r w:rsidR="002D167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(reference)</w:t>
            </w:r>
          </w:p>
        </w:tc>
        <w:tc>
          <w:tcPr>
            <w:tcW w:w="2393" w:type="pct"/>
            <w:shd w:val="clear" w:color="auto" w:fill="auto"/>
          </w:tcPr>
          <w:p w14:paraId="4265267B" w14:textId="75EF22D6" w:rsidR="00807C57" w:rsidRPr="00634016" w:rsidRDefault="00807C57" w:rsidP="003150C5">
            <w:pPr>
              <w:tabs>
                <w:tab w:val="right" w:pos="4264"/>
              </w:tabs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Remdesivir</w:t>
            </w:r>
            <w:r w:rsidR="002D167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90" w:type="pct"/>
            <w:shd w:val="clear" w:color="auto" w:fill="auto"/>
          </w:tcPr>
          <w:p w14:paraId="3D820DAE" w14:textId="3BAEEC2F" w:rsidR="00807C57" w:rsidRPr="00634016" w:rsidRDefault="00807C57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121304016</w:t>
            </w:r>
          </w:p>
        </w:tc>
      </w:tr>
      <w:tr w:rsidR="00FA3D98" w:rsidRPr="00634016" w14:paraId="230493CE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2A629504" w14:textId="617D0D99" w:rsidR="00FA3D98" w:rsidRPr="00634016" w:rsidRDefault="00FA3D98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Chlorine &amp; chlorine compounds</w:t>
            </w:r>
          </w:p>
        </w:tc>
        <w:tc>
          <w:tcPr>
            <w:tcW w:w="2393" w:type="pct"/>
            <w:shd w:val="clear" w:color="auto" w:fill="auto"/>
          </w:tcPr>
          <w:p w14:paraId="22FB8CBA" w14:textId="4F306BF4" w:rsidR="00FA3D98" w:rsidRPr="00634016" w:rsidRDefault="00FA3D98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Chlorine</w:t>
            </w:r>
          </w:p>
        </w:tc>
        <w:tc>
          <w:tcPr>
            <w:tcW w:w="790" w:type="pct"/>
            <w:shd w:val="clear" w:color="auto" w:fill="auto"/>
          </w:tcPr>
          <w:p w14:paraId="27527FFB" w14:textId="0FAA5120" w:rsidR="00FA3D98" w:rsidRPr="00634016" w:rsidRDefault="00FA3D98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24526   </w:t>
            </w:r>
          </w:p>
        </w:tc>
      </w:tr>
      <w:tr w:rsidR="00FA3D98" w:rsidRPr="00634016" w14:paraId="2F18A1D3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618D1C46" w14:textId="77777777" w:rsidR="00FA3D98" w:rsidRPr="00634016" w:rsidRDefault="00FA3D98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7D828178" w14:textId="13F6F82B" w:rsidR="00FA3D98" w:rsidRPr="00634016" w:rsidRDefault="00FA3D98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Chlorine Dioxide</w:t>
            </w:r>
          </w:p>
        </w:tc>
        <w:tc>
          <w:tcPr>
            <w:tcW w:w="790" w:type="pct"/>
            <w:shd w:val="clear" w:color="auto" w:fill="auto"/>
          </w:tcPr>
          <w:p w14:paraId="12ADC2D8" w14:textId="049B3E4D" w:rsidR="00FA3D98" w:rsidRPr="00634016" w:rsidRDefault="00FA3D98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24870      </w:t>
            </w:r>
          </w:p>
        </w:tc>
      </w:tr>
      <w:tr w:rsidR="00FA3D98" w:rsidRPr="00634016" w14:paraId="2D75672B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7E260AF1" w14:textId="77777777" w:rsidR="00FA3D98" w:rsidRPr="00634016" w:rsidRDefault="00FA3D98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147EC3FD" w14:textId="52B1B7AF" w:rsidR="00FA3D98" w:rsidRPr="00634016" w:rsidRDefault="00FA3D98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Monochloramine</w:t>
            </w:r>
          </w:p>
        </w:tc>
        <w:tc>
          <w:tcPr>
            <w:tcW w:w="790" w:type="pct"/>
            <w:shd w:val="clear" w:color="auto" w:fill="auto"/>
          </w:tcPr>
          <w:p w14:paraId="5E318984" w14:textId="06E098C2" w:rsidR="00FA3D98" w:rsidRPr="00634016" w:rsidRDefault="00FA3D98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25423     </w:t>
            </w:r>
          </w:p>
        </w:tc>
      </w:tr>
      <w:tr w:rsidR="00FA3D98" w:rsidRPr="00634016" w14:paraId="63B8BA1F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71745E6E" w14:textId="181E3BF0" w:rsidR="00FA3D98" w:rsidRPr="00634016" w:rsidRDefault="00FA3D98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Iodophors</w:t>
            </w:r>
          </w:p>
        </w:tc>
        <w:tc>
          <w:tcPr>
            <w:tcW w:w="2393" w:type="pct"/>
            <w:shd w:val="clear" w:color="auto" w:fill="auto"/>
          </w:tcPr>
          <w:p w14:paraId="18578505" w14:textId="6DB0053E" w:rsidR="00FA3D98" w:rsidRPr="00634016" w:rsidRDefault="00FA3D98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Iodine</w:t>
            </w:r>
          </w:p>
        </w:tc>
        <w:tc>
          <w:tcPr>
            <w:tcW w:w="790" w:type="pct"/>
            <w:shd w:val="clear" w:color="auto" w:fill="auto"/>
          </w:tcPr>
          <w:p w14:paraId="7096C962" w14:textId="14C5FAE9" w:rsidR="00FA3D98" w:rsidRPr="00634016" w:rsidRDefault="00FA3D98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807         </w:t>
            </w:r>
          </w:p>
        </w:tc>
      </w:tr>
      <w:tr w:rsidR="004A54E6" w:rsidRPr="00634016" w14:paraId="1799FA29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6262A0DB" w14:textId="36041C38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Miscellaneous inactivating agents</w:t>
            </w:r>
          </w:p>
        </w:tc>
        <w:tc>
          <w:tcPr>
            <w:tcW w:w="2393" w:type="pct"/>
            <w:shd w:val="clear" w:color="auto" w:fill="auto"/>
          </w:tcPr>
          <w:p w14:paraId="7CC1E817" w14:textId="26C7AA50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L-Lactic Acid</w:t>
            </w:r>
          </w:p>
        </w:tc>
        <w:tc>
          <w:tcPr>
            <w:tcW w:w="790" w:type="pct"/>
            <w:shd w:val="clear" w:color="auto" w:fill="auto"/>
          </w:tcPr>
          <w:p w14:paraId="35F1C832" w14:textId="54DD989A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107689      </w:t>
            </w:r>
          </w:p>
        </w:tc>
      </w:tr>
      <w:tr w:rsidR="004A54E6" w:rsidRPr="00634016" w14:paraId="00731D3B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364CF2D4" w14:textId="77777777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410C8269" w14:textId="2D1BEA29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Amylmetacresol</w:t>
            </w:r>
          </w:p>
        </w:tc>
        <w:tc>
          <w:tcPr>
            <w:tcW w:w="790" w:type="pct"/>
            <w:shd w:val="clear" w:color="auto" w:fill="auto"/>
          </w:tcPr>
          <w:p w14:paraId="17F3D65B" w14:textId="22F2FE0A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14759    </w:t>
            </w:r>
          </w:p>
        </w:tc>
      </w:tr>
      <w:tr w:rsidR="004A54E6" w:rsidRPr="00634016" w14:paraId="639AFF83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18B384C1" w14:textId="77777777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39F89BC2" w14:textId="74574CD4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2-Dodecylbenzenesulfonic acid </w:t>
            </w:r>
          </w:p>
        </w:tc>
        <w:tc>
          <w:tcPr>
            <w:tcW w:w="790" w:type="pct"/>
            <w:shd w:val="clear" w:color="auto" w:fill="auto"/>
          </w:tcPr>
          <w:p w14:paraId="117C2B6F" w14:textId="55472576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25457  </w:t>
            </w:r>
          </w:p>
        </w:tc>
      </w:tr>
      <w:tr w:rsidR="004A54E6" w:rsidRPr="00634016" w14:paraId="0B33D39F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0C8F6467" w14:textId="77777777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740B88CC" w14:textId="3FC28570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Potassium Permanganate</w:t>
            </w:r>
          </w:p>
        </w:tc>
        <w:tc>
          <w:tcPr>
            <w:tcW w:w="790" w:type="pct"/>
            <w:shd w:val="clear" w:color="auto" w:fill="auto"/>
          </w:tcPr>
          <w:p w14:paraId="798C01F4" w14:textId="2485E930" w:rsidR="004A54E6" w:rsidRPr="00634016" w:rsidRDefault="004A54E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516875     </w:t>
            </w:r>
          </w:p>
        </w:tc>
      </w:tr>
      <w:tr w:rsidR="0022367D" w:rsidRPr="00634016" w14:paraId="731656CB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32EDD8EE" w14:textId="77777777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69A7F3C2" w14:textId="123F2B19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Triethylene Glycol</w:t>
            </w:r>
          </w:p>
        </w:tc>
        <w:tc>
          <w:tcPr>
            <w:tcW w:w="790" w:type="pct"/>
            <w:shd w:val="clear" w:color="auto" w:fill="auto"/>
          </w:tcPr>
          <w:p w14:paraId="6B3F3663" w14:textId="1C650DD0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8172    </w:t>
            </w:r>
          </w:p>
        </w:tc>
      </w:tr>
      <w:tr w:rsidR="0022367D" w:rsidRPr="00634016" w14:paraId="1575160E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7BC4948F" w14:textId="77777777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3F842E41" w14:textId="51F81B1A" w:rsidR="0022367D" w:rsidRPr="00634016" w:rsidRDefault="0022367D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Chlorhexidine Gluconate</w:t>
            </w:r>
          </w:p>
        </w:tc>
        <w:tc>
          <w:tcPr>
            <w:tcW w:w="790" w:type="pct"/>
            <w:shd w:val="clear" w:color="auto" w:fill="auto"/>
          </w:tcPr>
          <w:p w14:paraId="4CEF5AA4" w14:textId="36349507" w:rsidR="0022367D" w:rsidRPr="00634016" w:rsidRDefault="0022367D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9552081   </w:t>
            </w:r>
          </w:p>
        </w:tc>
      </w:tr>
      <w:tr w:rsidR="0022367D" w:rsidRPr="00634016" w14:paraId="3D2B2B79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20A78E82" w14:textId="3E4C26AC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Oxidizing Agents</w:t>
            </w:r>
          </w:p>
        </w:tc>
        <w:tc>
          <w:tcPr>
            <w:tcW w:w="2393" w:type="pct"/>
            <w:shd w:val="clear" w:color="auto" w:fill="auto"/>
          </w:tcPr>
          <w:p w14:paraId="5712D02A" w14:textId="0A746004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Hydrogen Peroxide</w:t>
            </w:r>
          </w:p>
        </w:tc>
        <w:tc>
          <w:tcPr>
            <w:tcW w:w="790" w:type="pct"/>
            <w:shd w:val="clear" w:color="auto" w:fill="auto"/>
          </w:tcPr>
          <w:p w14:paraId="07C8CB48" w14:textId="2D943087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784         </w:t>
            </w:r>
          </w:p>
        </w:tc>
      </w:tr>
      <w:tr w:rsidR="0022367D" w:rsidRPr="00634016" w14:paraId="30B94916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1D655575" w14:textId="77777777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538C358E" w14:textId="611D0AA4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Peracetic Acid</w:t>
            </w:r>
          </w:p>
        </w:tc>
        <w:tc>
          <w:tcPr>
            <w:tcW w:w="790" w:type="pct"/>
            <w:shd w:val="clear" w:color="auto" w:fill="auto"/>
          </w:tcPr>
          <w:p w14:paraId="44EF7070" w14:textId="322E2991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6585         </w:t>
            </w:r>
          </w:p>
        </w:tc>
      </w:tr>
      <w:tr w:rsidR="0022367D" w:rsidRPr="00634016" w14:paraId="7A647F2A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710AFF6B" w14:textId="77777777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4DF591C6" w14:textId="2FFD8069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Ozone</w:t>
            </w:r>
          </w:p>
        </w:tc>
        <w:tc>
          <w:tcPr>
            <w:tcW w:w="790" w:type="pct"/>
            <w:shd w:val="clear" w:color="auto" w:fill="auto"/>
          </w:tcPr>
          <w:p w14:paraId="60E633F7" w14:textId="2B3402BB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24823       </w:t>
            </w:r>
          </w:p>
        </w:tc>
      </w:tr>
      <w:tr w:rsidR="0022367D" w:rsidRPr="00634016" w14:paraId="0F6A953B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1C7676A7" w14:textId="77777777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07B2A02A" w14:textId="05597776" w:rsidR="0022367D" w:rsidRPr="00634016" w:rsidRDefault="0022367D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Potassium peroxymonosulfate </w:t>
            </w:r>
          </w:p>
        </w:tc>
        <w:tc>
          <w:tcPr>
            <w:tcW w:w="790" w:type="pct"/>
            <w:shd w:val="clear" w:color="auto" w:fill="auto"/>
          </w:tcPr>
          <w:p w14:paraId="6AB72746" w14:textId="54488DD5" w:rsidR="0022367D" w:rsidRPr="00634016" w:rsidRDefault="0022367D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156589072      </w:t>
            </w:r>
          </w:p>
        </w:tc>
      </w:tr>
      <w:tr w:rsidR="0022367D" w:rsidRPr="00634016" w14:paraId="6FF9615B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1B5519A7" w14:textId="41463DD1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Phenolic Compounds</w:t>
            </w:r>
          </w:p>
        </w:tc>
        <w:tc>
          <w:tcPr>
            <w:tcW w:w="2393" w:type="pct"/>
            <w:shd w:val="clear" w:color="auto" w:fill="auto"/>
          </w:tcPr>
          <w:p w14:paraId="2AC5CA0D" w14:textId="3EBE4135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Triclosan</w:t>
            </w:r>
          </w:p>
        </w:tc>
        <w:tc>
          <w:tcPr>
            <w:tcW w:w="790" w:type="pct"/>
            <w:shd w:val="clear" w:color="auto" w:fill="auto"/>
          </w:tcPr>
          <w:p w14:paraId="00E518E9" w14:textId="23D876A2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5564        </w:t>
            </w:r>
          </w:p>
        </w:tc>
      </w:tr>
      <w:tr w:rsidR="0022367D" w:rsidRPr="00634016" w14:paraId="4C081948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61E2C5E6" w14:textId="77777777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53CEF99F" w14:textId="424BD94D" w:rsidR="0022367D" w:rsidRPr="00634016" w:rsidRDefault="0022367D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Hexachlorophene</w:t>
            </w:r>
          </w:p>
        </w:tc>
        <w:tc>
          <w:tcPr>
            <w:tcW w:w="790" w:type="pct"/>
            <w:shd w:val="clear" w:color="auto" w:fill="auto"/>
          </w:tcPr>
          <w:p w14:paraId="464B2646" w14:textId="72DC3E81" w:rsidR="0022367D" w:rsidRPr="00634016" w:rsidRDefault="0022367D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3598       </w:t>
            </w:r>
          </w:p>
        </w:tc>
      </w:tr>
      <w:tr w:rsidR="0022367D" w:rsidRPr="00634016" w14:paraId="4CFCE270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57472456" w14:textId="51C468A5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Phytochemical</w:t>
            </w:r>
            <w:r w:rsidR="002D167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93" w:type="pct"/>
            <w:shd w:val="clear" w:color="auto" w:fill="auto"/>
          </w:tcPr>
          <w:p w14:paraId="5F49CADC" w14:textId="1B0D1032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Rutin</w:t>
            </w:r>
          </w:p>
        </w:tc>
        <w:tc>
          <w:tcPr>
            <w:tcW w:w="790" w:type="pct"/>
            <w:shd w:val="clear" w:color="auto" w:fill="auto"/>
          </w:tcPr>
          <w:p w14:paraId="2CF84F09" w14:textId="5F33016A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5280805</w:t>
            </w:r>
          </w:p>
        </w:tc>
      </w:tr>
      <w:tr w:rsidR="0022367D" w:rsidRPr="00634016" w14:paraId="61B19878" w14:textId="77777777" w:rsidTr="000E26AB">
        <w:trPr>
          <w:trHeight w:val="337"/>
        </w:trPr>
        <w:tc>
          <w:tcPr>
            <w:tcW w:w="1817" w:type="pct"/>
            <w:shd w:val="clear" w:color="auto" w:fill="auto"/>
          </w:tcPr>
          <w:p w14:paraId="68183679" w14:textId="77777777" w:rsidR="0022367D" w:rsidRPr="00634016" w:rsidRDefault="0022367D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shd w:val="clear" w:color="auto" w:fill="auto"/>
          </w:tcPr>
          <w:p w14:paraId="03EEBE84" w14:textId="6741ED95" w:rsidR="0022367D" w:rsidRPr="00634016" w:rsidRDefault="0022367D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Thymol</w:t>
            </w:r>
          </w:p>
        </w:tc>
        <w:tc>
          <w:tcPr>
            <w:tcW w:w="790" w:type="pct"/>
            <w:shd w:val="clear" w:color="auto" w:fill="auto"/>
          </w:tcPr>
          <w:p w14:paraId="790F7969" w14:textId="67446C94" w:rsidR="0022367D" w:rsidRPr="00634016" w:rsidRDefault="0022367D" w:rsidP="003150C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 xml:space="preserve"> 6989       </w:t>
            </w:r>
          </w:p>
        </w:tc>
      </w:tr>
      <w:tr w:rsidR="00134676" w:rsidRPr="00634016" w14:paraId="64A7B3A6" w14:textId="77777777" w:rsidTr="000E26AB">
        <w:tc>
          <w:tcPr>
            <w:tcW w:w="1817" w:type="pct"/>
            <w:tcBorders>
              <w:bottom w:val="single" w:sz="4" w:space="0" w:color="auto"/>
            </w:tcBorders>
            <w:shd w:val="clear" w:color="auto" w:fill="auto"/>
          </w:tcPr>
          <w:p w14:paraId="0DF67B29" w14:textId="77777777" w:rsidR="00134676" w:rsidRPr="00634016" w:rsidRDefault="0013467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Quaternary Ammonium Compounds</w:t>
            </w:r>
          </w:p>
        </w:tc>
        <w:tc>
          <w:tcPr>
            <w:tcW w:w="2393" w:type="pct"/>
            <w:tcBorders>
              <w:bottom w:val="single" w:sz="4" w:space="0" w:color="auto"/>
            </w:tcBorders>
            <w:shd w:val="clear" w:color="auto" w:fill="auto"/>
          </w:tcPr>
          <w:p w14:paraId="43DF85DF" w14:textId="7EB3F081" w:rsidR="00134676" w:rsidRPr="00634016" w:rsidRDefault="00134676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sz w:val="20"/>
                <w:szCs w:val="20"/>
              </w:rPr>
              <w:t>Benzyldimethyltetradecylammonium chloride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</w:tcPr>
          <w:p w14:paraId="711F9BC4" w14:textId="453B5BD3" w:rsidR="00134676" w:rsidRPr="00634016" w:rsidRDefault="00134676" w:rsidP="00315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8756</w:t>
            </w:r>
          </w:p>
        </w:tc>
      </w:tr>
    </w:tbl>
    <w:p w14:paraId="1A043AC0" w14:textId="77777777" w:rsidR="00182AA1" w:rsidRPr="00634016" w:rsidRDefault="00182AA1" w:rsidP="003C44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E9328D" w14:textId="77777777" w:rsidR="00134676" w:rsidRDefault="00134676" w:rsidP="00182AA1">
      <w:pPr>
        <w:rPr>
          <w:rFonts w:ascii="Arial" w:hAnsi="Arial" w:cs="Arial"/>
          <w:sz w:val="18"/>
          <w:szCs w:val="18"/>
        </w:rPr>
      </w:pPr>
    </w:p>
    <w:p w14:paraId="4A8723B7" w14:textId="77777777" w:rsidR="00134676" w:rsidRPr="00071925" w:rsidRDefault="00134676" w:rsidP="00182AA1">
      <w:pPr>
        <w:rPr>
          <w:rFonts w:ascii="Arial" w:hAnsi="Arial" w:cs="Arial"/>
          <w:sz w:val="18"/>
          <w:szCs w:val="18"/>
        </w:rPr>
      </w:pPr>
    </w:p>
    <w:p w14:paraId="3B69CF08" w14:textId="77777777" w:rsidR="00373914" w:rsidRDefault="00373914"/>
    <w:p w14:paraId="163CDC8E" w14:textId="77777777" w:rsidR="001D55FB" w:rsidRDefault="001D55FB"/>
    <w:p w14:paraId="0DEBD3CD" w14:textId="77777777" w:rsidR="001D55FB" w:rsidRDefault="001D55FB"/>
    <w:p w14:paraId="5334EAF5" w14:textId="77777777" w:rsidR="001D55FB" w:rsidRDefault="001D55FB"/>
    <w:p w14:paraId="5534FF1C" w14:textId="394046A6" w:rsidR="001D55FB" w:rsidRPr="004305CF" w:rsidRDefault="00801667">
      <w:pPr>
        <w:rPr>
          <w:rFonts w:ascii="Times New Roman" w:hAnsi="Times New Roman" w:cs="Times New Roman"/>
          <w:sz w:val="20"/>
          <w:szCs w:val="20"/>
        </w:rPr>
      </w:pPr>
      <w:r w:rsidRPr="004305CF">
        <w:rPr>
          <w:rFonts w:ascii="Times New Roman" w:hAnsi="Times New Roman" w:cs="Times New Roman"/>
          <w:color w:val="3333FF"/>
          <w:sz w:val="20"/>
          <w:szCs w:val="20"/>
        </w:rPr>
        <w:lastRenderedPageBreak/>
        <w:t>Table S2</w:t>
      </w:r>
      <w:r w:rsidRPr="004305CF">
        <w:rPr>
          <w:rFonts w:ascii="Times New Roman" w:hAnsi="Times New Roman" w:cs="Times New Roman"/>
          <w:sz w:val="20"/>
          <w:szCs w:val="20"/>
        </w:rPr>
        <w:t xml:space="preserve"> </w:t>
      </w:r>
      <w:r w:rsidR="002D1675">
        <w:rPr>
          <w:rFonts w:ascii="Times New Roman" w:hAnsi="Times New Roman" w:cs="Times New Roman"/>
          <w:sz w:val="20"/>
          <w:szCs w:val="20"/>
        </w:rPr>
        <w:t>Surface</w:t>
      </w:r>
      <w:r w:rsidRPr="004305CF">
        <w:rPr>
          <w:rFonts w:ascii="Times New Roman" w:hAnsi="Times New Roman" w:cs="Times New Roman"/>
          <w:sz w:val="20"/>
          <w:szCs w:val="20"/>
        </w:rPr>
        <w:t xml:space="preserve"> proteins of </w:t>
      </w:r>
      <w:r w:rsidR="000E26AB">
        <w:rPr>
          <w:rFonts w:ascii="Times New Roman" w:hAnsi="Times New Roman" w:cs="Times New Roman"/>
          <w:sz w:val="20"/>
          <w:szCs w:val="20"/>
        </w:rPr>
        <w:t>pivotal</w:t>
      </w:r>
      <w:r w:rsidRPr="004305CF">
        <w:rPr>
          <w:rFonts w:ascii="Times New Roman" w:hAnsi="Times New Roman" w:cs="Times New Roman"/>
          <w:sz w:val="20"/>
          <w:szCs w:val="20"/>
        </w:rPr>
        <w:t xml:space="preserve"> human pathogenic viruses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3559"/>
        <w:gridCol w:w="1786"/>
      </w:tblGrid>
      <w:tr w:rsidR="000E26AB" w:rsidRPr="004305CF" w14:paraId="6E2A880D" w14:textId="77777777" w:rsidTr="000E26AB">
        <w:tc>
          <w:tcPr>
            <w:tcW w:w="2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7A7EF" w14:textId="681CE996" w:rsidR="000E26AB" w:rsidRPr="004305CF" w:rsidRDefault="000E26AB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Virus </w:t>
            </w:r>
          </w:p>
        </w:tc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24A0C" w14:textId="799A5D41" w:rsidR="000E26AB" w:rsidRPr="004305CF" w:rsidRDefault="000E26AB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urface</w:t>
            </w: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protein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C3460" w14:textId="10CBCEFB" w:rsidR="000E26AB" w:rsidRPr="004305CF" w:rsidRDefault="000E26AB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PDB ID </w:t>
            </w:r>
          </w:p>
        </w:tc>
      </w:tr>
      <w:tr w:rsidR="000E26AB" w:rsidRPr="004305CF" w14:paraId="08B1E32B" w14:textId="77777777" w:rsidTr="000E26AB">
        <w:tc>
          <w:tcPr>
            <w:tcW w:w="2145" w:type="pct"/>
            <w:tcBorders>
              <w:top w:val="single" w:sz="4" w:space="0" w:color="auto"/>
            </w:tcBorders>
            <w:shd w:val="clear" w:color="auto" w:fill="auto"/>
          </w:tcPr>
          <w:p w14:paraId="0426558F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Parainfluenza Virus 3 </w:t>
            </w:r>
          </w:p>
        </w:tc>
        <w:tc>
          <w:tcPr>
            <w:tcW w:w="1901" w:type="pct"/>
            <w:tcBorders>
              <w:top w:val="single" w:sz="4" w:space="0" w:color="auto"/>
            </w:tcBorders>
            <w:shd w:val="clear" w:color="auto" w:fill="auto"/>
          </w:tcPr>
          <w:p w14:paraId="4DACF17E" w14:textId="5B5EADC2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Hemagglutinin-neuraminidase (HN) </w:t>
            </w: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</w:tcPr>
          <w:p w14:paraId="239F722B" w14:textId="4B90884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1V3B</w:t>
            </w:r>
          </w:p>
        </w:tc>
      </w:tr>
      <w:tr w:rsidR="000E26AB" w:rsidRPr="004305CF" w14:paraId="7B101032" w14:textId="77777777" w:rsidTr="000E26AB">
        <w:tc>
          <w:tcPr>
            <w:tcW w:w="2145" w:type="pct"/>
            <w:shd w:val="clear" w:color="auto" w:fill="auto"/>
          </w:tcPr>
          <w:p w14:paraId="4D4C822F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SARS-CoV-2 </w:t>
            </w:r>
          </w:p>
        </w:tc>
        <w:tc>
          <w:tcPr>
            <w:tcW w:w="1901" w:type="pct"/>
            <w:shd w:val="clear" w:color="auto" w:fill="auto"/>
          </w:tcPr>
          <w:p w14:paraId="0B2B3219" w14:textId="683BDB73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Spike (S) protein </w:t>
            </w:r>
          </w:p>
        </w:tc>
        <w:tc>
          <w:tcPr>
            <w:tcW w:w="954" w:type="pct"/>
            <w:shd w:val="clear" w:color="auto" w:fill="auto"/>
          </w:tcPr>
          <w:p w14:paraId="5982789C" w14:textId="6DDF6363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6VXX </w:t>
            </w:r>
          </w:p>
        </w:tc>
      </w:tr>
      <w:tr w:rsidR="000E26AB" w:rsidRPr="004305CF" w14:paraId="6819C757" w14:textId="77777777" w:rsidTr="000E26AB">
        <w:tc>
          <w:tcPr>
            <w:tcW w:w="2145" w:type="pct"/>
            <w:shd w:val="clear" w:color="auto" w:fill="auto"/>
          </w:tcPr>
          <w:p w14:paraId="687C3495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Immunodeficiency Virus (HIV) </w:t>
            </w:r>
          </w:p>
        </w:tc>
        <w:tc>
          <w:tcPr>
            <w:tcW w:w="1901" w:type="pct"/>
            <w:shd w:val="clear" w:color="auto" w:fill="auto"/>
          </w:tcPr>
          <w:p w14:paraId="7FFA22AC" w14:textId="2B549DF0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Envelope glycoprotein gp120 </w:t>
            </w:r>
          </w:p>
        </w:tc>
        <w:tc>
          <w:tcPr>
            <w:tcW w:w="954" w:type="pct"/>
            <w:shd w:val="clear" w:color="auto" w:fill="auto"/>
          </w:tcPr>
          <w:p w14:paraId="3FCEFE49" w14:textId="2067B63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6MEO </w:t>
            </w:r>
          </w:p>
        </w:tc>
      </w:tr>
      <w:tr w:rsidR="000E26AB" w:rsidRPr="004305CF" w14:paraId="1C9F8ACE" w14:textId="77777777" w:rsidTr="000E26AB">
        <w:tc>
          <w:tcPr>
            <w:tcW w:w="2145" w:type="pct"/>
            <w:shd w:val="clear" w:color="auto" w:fill="auto"/>
          </w:tcPr>
          <w:p w14:paraId="0D649A49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Hepatitis C Virus </w:t>
            </w:r>
          </w:p>
        </w:tc>
        <w:tc>
          <w:tcPr>
            <w:tcW w:w="1901" w:type="pct"/>
            <w:shd w:val="clear" w:color="auto" w:fill="auto"/>
          </w:tcPr>
          <w:p w14:paraId="677F8BCE" w14:textId="12E9B86B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Envelope glycoproteins E1 </w:t>
            </w:r>
          </w:p>
        </w:tc>
        <w:tc>
          <w:tcPr>
            <w:tcW w:w="954" w:type="pct"/>
            <w:shd w:val="clear" w:color="auto" w:fill="auto"/>
          </w:tcPr>
          <w:p w14:paraId="5D7CC601" w14:textId="5EA43B20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4N0Y </w:t>
            </w:r>
          </w:p>
        </w:tc>
      </w:tr>
      <w:tr w:rsidR="000E26AB" w:rsidRPr="004305CF" w14:paraId="3ABA4EFF" w14:textId="77777777" w:rsidTr="000E26AB">
        <w:tc>
          <w:tcPr>
            <w:tcW w:w="2145" w:type="pct"/>
            <w:shd w:val="clear" w:color="auto" w:fill="auto"/>
          </w:tcPr>
          <w:p w14:paraId="2CDD4EC9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Influenza A Virus </w:t>
            </w:r>
          </w:p>
        </w:tc>
        <w:tc>
          <w:tcPr>
            <w:tcW w:w="1901" w:type="pct"/>
            <w:shd w:val="clear" w:color="auto" w:fill="auto"/>
          </w:tcPr>
          <w:p w14:paraId="41242D4A" w14:textId="388CF6ED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Hemagglutinin (HA) </w:t>
            </w:r>
          </w:p>
        </w:tc>
        <w:tc>
          <w:tcPr>
            <w:tcW w:w="954" w:type="pct"/>
            <w:shd w:val="clear" w:color="auto" w:fill="auto"/>
          </w:tcPr>
          <w:p w14:paraId="70799497" w14:textId="24EB2F5C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4WE9 </w:t>
            </w:r>
          </w:p>
        </w:tc>
      </w:tr>
      <w:tr w:rsidR="000E26AB" w:rsidRPr="004305CF" w14:paraId="25CF0B7E" w14:textId="77777777" w:rsidTr="000E26AB">
        <w:tc>
          <w:tcPr>
            <w:tcW w:w="2145" w:type="pct"/>
            <w:shd w:val="clear" w:color="auto" w:fill="auto"/>
          </w:tcPr>
          <w:p w14:paraId="6C6D4D89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Hepatitis B Virus </w:t>
            </w:r>
          </w:p>
        </w:tc>
        <w:tc>
          <w:tcPr>
            <w:tcW w:w="1901" w:type="pct"/>
            <w:shd w:val="clear" w:color="auto" w:fill="auto"/>
          </w:tcPr>
          <w:p w14:paraId="38446433" w14:textId="0B362DF0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Surface protein (HBsAg) </w:t>
            </w:r>
          </w:p>
        </w:tc>
        <w:tc>
          <w:tcPr>
            <w:tcW w:w="954" w:type="pct"/>
            <w:shd w:val="clear" w:color="auto" w:fill="auto"/>
          </w:tcPr>
          <w:p w14:paraId="4400AF3C" w14:textId="122F551E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7TUK</w:t>
            </w:r>
          </w:p>
        </w:tc>
      </w:tr>
      <w:tr w:rsidR="000E26AB" w:rsidRPr="004305CF" w14:paraId="2CDFC184" w14:textId="77777777" w:rsidTr="000E26AB">
        <w:tc>
          <w:tcPr>
            <w:tcW w:w="2145" w:type="pct"/>
            <w:shd w:val="clear" w:color="auto" w:fill="auto"/>
          </w:tcPr>
          <w:p w14:paraId="69F0F828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Papillomavirus </w:t>
            </w:r>
          </w:p>
        </w:tc>
        <w:tc>
          <w:tcPr>
            <w:tcW w:w="1901" w:type="pct"/>
            <w:shd w:val="clear" w:color="auto" w:fill="auto"/>
          </w:tcPr>
          <w:p w14:paraId="5C6CF683" w14:textId="31B2DBD0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L1 capsid protein </w:t>
            </w:r>
          </w:p>
        </w:tc>
        <w:tc>
          <w:tcPr>
            <w:tcW w:w="954" w:type="pct"/>
            <w:shd w:val="clear" w:color="auto" w:fill="auto"/>
          </w:tcPr>
          <w:p w14:paraId="5942557F" w14:textId="2229D61E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1DZL </w:t>
            </w:r>
          </w:p>
        </w:tc>
      </w:tr>
      <w:tr w:rsidR="000E26AB" w:rsidRPr="004305CF" w14:paraId="4B57A3FD" w14:textId="77777777" w:rsidTr="000E26AB">
        <w:tc>
          <w:tcPr>
            <w:tcW w:w="2145" w:type="pct"/>
            <w:shd w:val="clear" w:color="auto" w:fill="auto"/>
          </w:tcPr>
          <w:p w14:paraId="37C43E30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Epstein-Barr Virus </w:t>
            </w:r>
          </w:p>
        </w:tc>
        <w:tc>
          <w:tcPr>
            <w:tcW w:w="1901" w:type="pct"/>
            <w:shd w:val="clear" w:color="auto" w:fill="auto"/>
          </w:tcPr>
          <w:p w14:paraId="7E9299E4" w14:textId="51868BED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Glycoprotein gp350 </w:t>
            </w:r>
          </w:p>
        </w:tc>
        <w:tc>
          <w:tcPr>
            <w:tcW w:w="954" w:type="pct"/>
            <w:shd w:val="clear" w:color="auto" w:fill="auto"/>
          </w:tcPr>
          <w:p w14:paraId="3CC49A1F" w14:textId="605AC4FD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2H6O</w:t>
            </w:r>
          </w:p>
        </w:tc>
      </w:tr>
      <w:tr w:rsidR="000E26AB" w:rsidRPr="004305CF" w14:paraId="23534D0A" w14:textId="77777777" w:rsidTr="000E26AB">
        <w:tc>
          <w:tcPr>
            <w:tcW w:w="2145" w:type="pct"/>
            <w:shd w:val="clear" w:color="auto" w:fill="auto"/>
          </w:tcPr>
          <w:p w14:paraId="7D03114F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Cytomegalovirus </w:t>
            </w:r>
          </w:p>
        </w:tc>
        <w:tc>
          <w:tcPr>
            <w:tcW w:w="1901" w:type="pct"/>
            <w:shd w:val="clear" w:color="auto" w:fill="auto"/>
          </w:tcPr>
          <w:p w14:paraId="79BBF25D" w14:textId="41F0E4CE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Glycoprotein B (gB) </w:t>
            </w:r>
          </w:p>
        </w:tc>
        <w:tc>
          <w:tcPr>
            <w:tcW w:w="954" w:type="pct"/>
            <w:shd w:val="clear" w:color="auto" w:fill="auto"/>
          </w:tcPr>
          <w:p w14:paraId="59543DC6" w14:textId="6FFC5EF3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7KDP</w:t>
            </w:r>
          </w:p>
        </w:tc>
      </w:tr>
      <w:tr w:rsidR="000E26AB" w:rsidRPr="004305CF" w14:paraId="6322B3BD" w14:textId="77777777" w:rsidTr="000E26AB">
        <w:tc>
          <w:tcPr>
            <w:tcW w:w="2145" w:type="pct"/>
            <w:shd w:val="clear" w:color="auto" w:fill="auto"/>
          </w:tcPr>
          <w:p w14:paraId="3B6D8FF0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T-lymphotropic Virus </w:t>
            </w:r>
          </w:p>
        </w:tc>
        <w:tc>
          <w:tcPr>
            <w:tcW w:w="1901" w:type="pct"/>
            <w:shd w:val="clear" w:color="auto" w:fill="auto"/>
          </w:tcPr>
          <w:p w14:paraId="7537BB68" w14:textId="6704E5CD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>Glycoprotein gp21</w:t>
            </w:r>
          </w:p>
        </w:tc>
        <w:tc>
          <w:tcPr>
            <w:tcW w:w="954" w:type="pct"/>
            <w:shd w:val="clear" w:color="auto" w:fill="auto"/>
          </w:tcPr>
          <w:p w14:paraId="64EE1004" w14:textId="2DF3C321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1MG1 </w:t>
            </w:r>
          </w:p>
        </w:tc>
      </w:tr>
      <w:tr w:rsidR="000E26AB" w:rsidRPr="004305CF" w14:paraId="3364A827" w14:textId="77777777" w:rsidTr="000E26AB">
        <w:tc>
          <w:tcPr>
            <w:tcW w:w="2145" w:type="pct"/>
            <w:shd w:val="clear" w:color="auto" w:fill="auto"/>
          </w:tcPr>
          <w:p w14:paraId="18C8B2BE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Herpes Simplex Virus</w:t>
            </w:r>
          </w:p>
        </w:tc>
        <w:tc>
          <w:tcPr>
            <w:tcW w:w="1901" w:type="pct"/>
            <w:shd w:val="clear" w:color="auto" w:fill="auto"/>
          </w:tcPr>
          <w:p w14:paraId="667DD719" w14:textId="696F1EFE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>Glycoprotein D (gD)</w:t>
            </w:r>
          </w:p>
        </w:tc>
        <w:tc>
          <w:tcPr>
            <w:tcW w:w="954" w:type="pct"/>
            <w:shd w:val="clear" w:color="auto" w:fill="auto"/>
          </w:tcPr>
          <w:p w14:paraId="31B1C680" w14:textId="18FBC069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1JMA</w:t>
            </w:r>
          </w:p>
        </w:tc>
      </w:tr>
      <w:tr w:rsidR="000E26AB" w:rsidRPr="004305CF" w14:paraId="551ADE63" w14:textId="77777777" w:rsidTr="000E26AB">
        <w:tc>
          <w:tcPr>
            <w:tcW w:w="2145" w:type="pct"/>
            <w:shd w:val="clear" w:color="auto" w:fill="auto"/>
          </w:tcPr>
          <w:p w14:paraId="358AFBFB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Adenovirus </w:t>
            </w:r>
          </w:p>
        </w:tc>
        <w:tc>
          <w:tcPr>
            <w:tcW w:w="1901" w:type="pct"/>
            <w:shd w:val="clear" w:color="auto" w:fill="auto"/>
          </w:tcPr>
          <w:p w14:paraId="2FF1AD4B" w14:textId="1E6A273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Hexon protein </w:t>
            </w:r>
          </w:p>
        </w:tc>
        <w:tc>
          <w:tcPr>
            <w:tcW w:w="954" w:type="pct"/>
            <w:shd w:val="clear" w:color="auto" w:fill="auto"/>
          </w:tcPr>
          <w:p w14:paraId="274A74FB" w14:textId="6AFA4ECA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1P30 </w:t>
            </w:r>
          </w:p>
        </w:tc>
      </w:tr>
      <w:tr w:rsidR="000E26AB" w:rsidRPr="004305CF" w14:paraId="3AFE223E" w14:textId="77777777" w:rsidTr="000E26AB">
        <w:tc>
          <w:tcPr>
            <w:tcW w:w="2145" w:type="pct"/>
            <w:shd w:val="clear" w:color="auto" w:fill="auto"/>
          </w:tcPr>
          <w:p w14:paraId="5D4BEDD0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Rhinovirus </w:t>
            </w:r>
          </w:p>
        </w:tc>
        <w:tc>
          <w:tcPr>
            <w:tcW w:w="1901" w:type="pct"/>
            <w:shd w:val="clear" w:color="auto" w:fill="auto"/>
          </w:tcPr>
          <w:p w14:paraId="44EF2B71" w14:textId="5338FB44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Capsid proteins </w:t>
            </w:r>
          </w:p>
        </w:tc>
        <w:tc>
          <w:tcPr>
            <w:tcW w:w="954" w:type="pct"/>
            <w:shd w:val="clear" w:color="auto" w:fill="auto"/>
          </w:tcPr>
          <w:p w14:paraId="282CE805" w14:textId="5EC14312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1AYM </w:t>
            </w:r>
          </w:p>
        </w:tc>
      </w:tr>
      <w:tr w:rsidR="000E26AB" w:rsidRPr="004305CF" w14:paraId="122FEF7B" w14:textId="77777777" w:rsidTr="000E26AB">
        <w:tc>
          <w:tcPr>
            <w:tcW w:w="2145" w:type="pct"/>
            <w:shd w:val="clear" w:color="auto" w:fill="auto"/>
          </w:tcPr>
          <w:p w14:paraId="0A208776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Norovirus </w:t>
            </w:r>
          </w:p>
        </w:tc>
        <w:tc>
          <w:tcPr>
            <w:tcW w:w="1901" w:type="pct"/>
            <w:shd w:val="clear" w:color="auto" w:fill="auto"/>
          </w:tcPr>
          <w:p w14:paraId="1CF96CE5" w14:textId="0AB6B5D3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Capsid protein VP1 </w:t>
            </w:r>
          </w:p>
        </w:tc>
        <w:tc>
          <w:tcPr>
            <w:tcW w:w="954" w:type="pct"/>
            <w:shd w:val="clear" w:color="auto" w:fill="auto"/>
          </w:tcPr>
          <w:p w14:paraId="7266E39F" w14:textId="513660F8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>7MRY</w:t>
            </w:r>
          </w:p>
        </w:tc>
      </w:tr>
      <w:tr w:rsidR="000E26AB" w:rsidRPr="004305CF" w14:paraId="17025B52" w14:textId="77777777" w:rsidTr="000E26AB">
        <w:tc>
          <w:tcPr>
            <w:tcW w:w="2145" w:type="pct"/>
            <w:shd w:val="clear" w:color="auto" w:fill="auto"/>
          </w:tcPr>
          <w:p w14:paraId="11D16891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Rotavirus </w:t>
            </w:r>
          </w:p>
        </w:tc>
        <w:tc>
          <w:tcPr>
            <w:tcW w:w="1901" w:type="pct"/>
            <w:shd w:val="clear" w:color="auto" w:fill="auto"/>
          </w:tcPr>
          <w:p w14:paraId="29A54A62" w14:textId="0FB730C1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VP8 </w:t>
            </w:r>
          </w:p>
        </w:tc>
        <w:tc>
          <w:tcPr>
            <w:tcW w:w="954" w:type="pct"/>
            <w:shd w:val="clear" w:color="auto" w:fill="auto"/>
          </w:tcPr>
          <w:p w14:paraId="79E38AF9" w14:textId="70E37F0E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7C8P</w:t>
            </w:r>
          </w:p>
        </w:tc>
      </w:tr>
      <w:tr w:rsidR="000E26AB" w:rsidRPr="004305CF" w14:paraId="2CEAB97F" w14:textId="77777777" w:rsidTr="000E26AB">
        <w:tc>
          <w:tcPr>
            <w:tcW w:w="2145" w:type="pct"/>
            <w:shd w:val="clear" w:color="auto" w:fill="auto"/>
          </w:tcPr>
          <w:p w14:paraId="5BA77F8A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Respiratory Syncytial Virus </w:t>
            </w:r>
          </w:p>
        </w:tc>
        <w:tc>
          <w:tcPr>
            <w:tcW w:w="1901" w:type="pct"/>
            <w:shd w:val="clear" w:color="auto" w:fill="auto"/>
          </w:tcPr>
          <w:p w14:paraId="43D4A940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Fusion (F) glycoprotein </w:t>
            </w:r>
          </w:p>
        </w:tc>
        <w:tc>
          <w:tcPr>
            <w:tcW w:w="954" w:type="pct"/>
            <w:shd w:val="clear" w:color="auto" w:fill="auto"/>
          </w:tcPr>
          <w:p w14:paraId="1E7C1BE5" w14:textId="0369EEB4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>1G2C</w:t>
            </w:r>
          </w:p>
        </w:tc>
      </w:tr>
      <w:tr w:rsidR="000E26AB" w:rsidRPr="004305CF" w14:paraId="0A7545EB" w14:textId="77777777" w:rsidTr="000E26AB">
        <w:tc>
          <w:tcPr>
            <w:tcW w:w="2145" w:type="pct"/>
            <w:shd w:val="clear" w:color="auto" w:fill="auto"/>
          </w:tcPr>
          <w:p w14:paraId="4701C702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Human Metapneumovirus </w:t>
            </w:r>
          </w:p>
        </w:tc>
        <w:tc>
          <w:tcPr>
            <w:tcW w:w="1901" w:type="pct"/>
            <w:shd w:val="clear" w:color="auto" w:fill="auto"/>
          </w:tcPr>
          <w:p w14:paraId="2A3C819A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Fusion (F) glycoprotein </w:t>
            </w:r>
          </w:p>
        </w:tc>
        <w:tc>
          <w:tcPr>
            <w:tcW w:w="954" w:type="pct"/>
            <w:shd w:val="clear" w:color="auto" w:fill="auto"/>
          </w:tcPr>
          <w:p w14:paraId="5E2D4952" w14:textId="50AE1412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7SEJ</w:t>
            </w:r>
          </w:p>
        </w:tc>
      </w:tr>
      <w:tr w:rsidR="000E26AB" w:rsidRPr="004305CF" w14:paraId="45F25000" w14:textId="77777777" w:rsidTr="000E26AB">
        <w:tc>
          <w:tcPr>
            <w:tcW w:w="2145" w:type="pct"/>
            <w:shd w:val="clear" w:color="auto" w:fill="auto"/>
          </w:tcPr>
          <w:p w14:paraId="5AF9E0A9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Zika Virus </w:t>
            </w:r>
          </w:p>
        </w:tc>
        <w:tc>
          <w:tcPr>
            <w:tcW w:w="1901" w:type="pct"/>
            <w:shd w:val="clear" w:color="auto" w:fill="auto"/>
          </w:tcPr>
          <w:p w14:paraId="3F2CA237" w14:textId="01D6062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Envelope (E) protein </w:t>
            </w:r>
          </w:p>
        </w:tc>
        <w:tc>
          <w:tcPr>
            <w:tcW w:w="954" w:type="pct"/>
            <w:shd w:val="clear" w:color="auto" w:fill="auto"/>
          </w:tcPr>
          <w:p w14:paraId="7CDC8E5E" w14:textId="0893440F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5JHM</w:t>
            </w:r>
          </w:p>
        </w:tc>
      </w:tr>
      <w:tr w:rsidR="000E26AB" w:rsidRPr="004305CF" w14:paraId="5B42B960" w14:textId="77777777" w:rsidTr="000E26AB">
        <w:tc>
          <w:tcPr>
            <w:tcW w:w="2145" w:type="pct"/>
            <w:tcBorders>
              <w:bottom w:val="single" w:sz="4" w:space="0" w:color="auto"/>
            </w:tcBorders>
            <w:shd w:val="clear" w:color="auto" w:fill="auto"/>
          </w:tcPr>
          <w:p w14:paraId="58CBBE5A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Dengue Virus </w:t>
            </w:r>
          </w:p>
        </w:tc>
        <w:tc>
          <w:tcPr>
            <w:tcW w:w="1901" w:type="pct"/>
            <w:tcBorders>
              <w:bottom w:val="single" w:sz="4" w:space="0" w:color="auto"/>
            </w:tcBorders>
            <w:shd w:val="clear" w:color="auto" w:fill="auto"/>
          </w:tcPr>
          <w:p w14:paraId="1B5269E0" w14:textId="77777777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Envelope glycoprotein 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</w:tcPr>
          <w:p w14:paraId="7BFCF9FA" w14:textId="5A10B03D" w:rsidR="000E26AB" w:rsidRPr="004305CF" w:rsidRDefault="000E26AB" w:rsidP="008A06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5CF">
              <w:rPr>
                <w:rFonts w:ascii="Times New Roman" w:hAnsi="Times New Roman" w:cs="Times New Roman"/>
                <w:sz w:val="20"/>
                <w:szCs w:val="20"/>
              </w:rPr>
              <w:t xml:space="preserve"> 4UTC</w:t>
            </w:r>
          </w:p>
        </w:tc>
      </w:tr>
    </w:tbl>
    <w:p w14:paraId="21B150DA" w14:textId="77777777" w:rsidR="00801667" w:rsidRDefault="00801667"/>
    <w:p w14:paraId="1D40CB1A" w14:textId="77777777" w:rsidR="006E3549" w:rsidRDefault="006E3549"/>
    <w:p w14:paraId="08C44B2D" w14:textId="77777777" w:rsidR="00541A53" w:rsidRDefault="00541A53"/>
    <w:p w14:paraId="229DD8E1" w14:textId="77777777" w:rsidR="00541A53" w:rsidRDefault="00541A53"/>
    <w:p w14:paraId="5E9DDF61" w14:textId="77777777" w:rsidR="00541A53" w:rsidRDefault="00541A53"/>
    <w:p w14:paraId="4E485BEF" w14:textId="77777777" w:rsidR="00541A53" w:rsidRDefault="00541A53"/>
    <w:p w14:paraId="33703BEB" w14:textId="77777777" w:rsidR="00541A53" w:rsidRDefault="00541A53"/>
    <w:p w14:paraId="34D529D7" w14:textId="77777777" w:rsidR="00541A53" w:rsidRDefault="00541A53"/>
    <w:p w14:paraId="54092AFE" w14:textId="77777777" w:rsidR="00541A53" w:rsidRDefault="00541A53"/>
    <w:p w14:paraId="40206D67" w14:textId="77777777" w:rsidR="00541A53" w:rsidRDefault="00541A53"/>
    <w:p w14:paraId="2FFE5266" w14:textId="77777777" w:rsidR="00541A53" w:rsidRDefault="00541A53"/>
    <w:p w14:paraId="154BA477" w14:textId="77777777" w:rsidR="00541A53" w:rsidRDefault="00541A53"/>
    <w:p w14:paraId="00A4AC24" w14:textId="77777777" w:rsidR="00541A53" w:rsidRDefault="00541A53"/>
    <w:p w14:paraId="4ADD89F8" w14:textId="489D4556" w:rsidR="00541A53" w:rsidRPr="00541A53" w:rsidRDefault="00541A53">
      <w:pPr>
        <w:rPr>
          <w:rFonts w:ascii="Times New Roman" w:hAnsi="Times New Roman" w:cs="Times New Roman"/>
          <w:sz w:val="20"/>
          <w:szCs w:val="20"/>
        </w:rPr>
      </w:pPr>
      <w:r w:rsidRPr="00541A53">
        <w:rPr>
          <w:rFonts w:ascii="Times New Roman" w:hAnsi="Times New Roman" w:cs="Times New Roman"/>
          <w:color w:val="3333FF"/>
          <w:sz w:val="20"/>
          <w:szCs w:val="20"/>
        </w:rPr>
        <w:lastRenderedPageBreak/>
        <w:t xml:space="preserve">Table S3 </w:t>
      </w:r>
      <w:r w:rsidRPr="00541A53">
        <w:rPr>
          <w:rFonts w:ascii="Times New Roman" w:hAnsi="Times New Roman" w:cs="Times New Roman"/>
          <w:sz w:val="20"/>
          <w:szCs w:val="20"/>
        </w:rPr>
        <w:t xml:space="preserve">Eco-pharmaco-economic analysis (EPEA) of candidate chemical disinfectants </w:t>
      </w:r>
    </w:p>
    <w:tbl>
      <w:tblPr>
        <w:tblStyle w:val="TableGrid"/>
        <w:tblW w:w="54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578"/>
        <w:gridCol w:w="1370"/>
        <w:gridCol w:w="1405"/>
        <w:gridCol w:w="1414"/>
        <w:gridCol w:w="827"/>
      </w:tblGrid>
      <w:tr w:rsidR="00541A53" w:rsidRPr="00541A53" w14:paraId="10260A44" w14:textId="77777777" w:rsidTr="007C2A27"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6894CCD" w14:textId="77777777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D9837" w14:textId="77777777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51A32" w14:textId="77777777" w:rsid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C44C9" w14:textId="75C62422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>Disinfectant category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14:paraId="670B7E27" w14:textId="77777777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1A2D9" w14:textId="77777777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EC74D" w14:textId="77777777" w:rsid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156E4" w14:textId="6183E6EC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>Chemical/drug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14:paraId="66CF2CB6" w14:textId="5FB6B175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>Avg. ligand binding energy (kca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>/mol)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632460A3" w14:textId="77777777" w:rsid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C9C38" w14:textId="21AF74E6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>Environmental</w:t>
            </w:r>
          </w:p>
          <w:p w14:paraId="0EE1883B" w14:textId="77777777" w:rsid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 xml:space="preserve">impact </w:t>
            </w:r>
          </w:p>
          <w:p w14:paraId="34F331B0" w14:textId="7EC2B688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676ABFF1" w14:textId="77777777" w:rsid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E2AF2" w14:textId="77777777" w:rsid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5F22B" w14:textId="63B1DDFD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>Avg. Price (US$/Kg/Vial)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28B10128" w14:textId="77777777" w:rsid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85587" w14:textId="239BBD11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53">
              <w:rPr>
                <w:rFonts w:ascii="Times New Roman" w:hAnsi="Times New Roman" w:cs="Times New Roman"/>
                <w:sz w:val="20"/>
                <w:szCs w:val="20"/>
              </w:rPr>
              <w:t>EPEA ranking (%)</w:t>
            </w:r>
          </w:p>
        </w:tc>
      </w:tr>
      <w:tr w:rsidR="00541A53" w:rsidRPr="00541A53" w14:paraId="7C2C183C" w14:textId="77777777" w:rsidTr="00DB04F9">
        <w:trPr>
          <w:trHeight w:val="283"/>
        </w:trPr>
        <w:tc>
          <w:tcPr>
            <w:tcW w:w="1310" w:type="pct"/>
            <w:tcBorders>
              <w:top w:val="single" w:sz="4" w:space="0" w:color="auto"/>
            </w:tcBorders>
          </w:tcPr>
          <w:p w14:paraId="138612FA" w14:textId="7FD8A4B9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Miscellaneous inactivating agents</w:t>
            </w:r>
          </w:p>
        </w:tc>
        <w:tc>
          <w:tcPr>
            <w:tcW w:w="1253" w:type="pct"/>
            <w:tcBorders>
              <w:top w:val="single" w:sz="4" w:space="0" w:color="auto"/>
            </w:tcBorders>
          </w:tcPr>
          <w:p w14:paraId="1E648DAD" w14:textId="6A27CA3A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2-Dodecylbenzenesulfonic acid</w:t>
            </w:r>
          </w:p>
        </w:tc>
        <w:tc>
          <w:tcPr>
            <w:tcW w:w="666" w:type="pct"/>
            <w:tcBorders>
              <w:top w:val="single" w:sz="4" w:space="0" w:color="auto"/>
            </w:tcBorders>
          </w:tcPr>
          <w:p w14:paraId="129BD774" w14:textId="1ADE58B7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-7.5</w:t>
            </w:r>
          </w:p>
        </w:tc>
        <w:tc>
          <w:tcPr>
            <w:tcW w:w="683" w:type="pct"/>
            <w:tcBorders>
              <w:top w:val="single" w:sz="4" w:space="0" w:color="auto"/>
            </w:tcBorders>
          </w:tcPr>
          <w:p w14:paraId="7FA53A0E" w14:textId="5EFE31A8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77.78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0B11EC8" w14:textId="58C3D751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25F67D27" w14:textId="2776B0FA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B04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1A53" w:rsidRPr="00541A53" w14:paraId="6B5FE6EA" w14:textId="77777777" w:rsidTr="00DB04F9">
        <w:trPr>
          <w:trHeight w:val="283"/>
        </w:trPr>
        <w:tc>
          <w:tcPr>
            <w:tcW w:w="1310" w:type="pct"/>
          </w:tcPr>
          <w:p w14:paraId="2C74B546" w14:textId="0FE029CC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14:paraId="42AA9DAF" w14:textId="1992B69F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Amylmetacresol</w:t>
            </w:r>
          </w:p>
        </w:tc>
        <w:tc>
          <w:tcPr>
            <w:tcW w:w="666" w:type="pct"/>
          </w:tcPr>
          <w:p w14:paraId="267029C1" w14:textId="3C0A005C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-7.05</w:t>
            </w:r>
          </w:p>
        </w:tc>
        <w:tc>
          <w:tcPr>
            <w:tcW w:w="683" w:type="pct"/>
          </w:tcPr>
          <w:p w14:paraId="37FE8929" w14:textId="66BC9399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88.98</w:t>
            </w:r>
          </w:p>
        </w:tc>
        <w:tc>
          <w:tcPr>
            <w:tcW w:w="687" w:type="pct"/>
          </w:tcPr>
          <w:p w14:paraId="3AE0BEA4" w14:textId="6B774E0A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402" w:type="pct"/>
          </w:tcPr>
          <w:p w14:paraId="5AFE5DC3" w14:textId="5AF9C054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541A53" w:rsidRPr="00541A53" w14:paraId="723E5346" w14:textId="77777777" w:rsidTr="007C2A27">
        <w:trPr>
          <w:trHeight w:val="283"/>
        </w:trPr>
        <w:tc>
          <w:tcPr>
            <w:tcW w:w="1310" w:type="pct"/>
          </w:tcPr>
          <w:p w14:paraId="03C7D760" w14:textId="195CACD6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pct"/>
          </w:tcPr>
          <w:p w14:paraId="592AA07C" w14:textId="145B0B29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Chlorhexidine gluconate</w:t>
            </w:r>
          </w:p>
        </w:tc>
        <w:tc>
          <w:tcPr>
            <w:tcW w:w="666" w:type="pct"/>
          </w:tcPr>
          <w:p w14:paraId="535B8A17" w14:textId="4E95B947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-7.81</w:t>
            </w:r>
          </w:p>
        </w:tc>
        <w:tc>
          <w:tcPr>
            <w:tcW w:w="683" w:type="pct"/>
          </w:tcPr>
          <w:p w14:paraId="79CD7469" w14:textId="60F1AE96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66.67</w:t>
            </w:r>
          </w:p>
        </w:tc>
        <w:tc>
          <w:tcPr>
            <w:tcW w:w="687" w:type="pct"/>
          </w:tcPr>
          <w:p w14:paraId="59F7DB1A" w14:textId="32C38982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402" w:type="pct"/>
          </w:tcPr>
          <w:p w14:paraId="149D5122" w14:textId="5C571424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B04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41A53" w:rsidRPr="00541A53" w14:paraId="1674AE4F" w14:textId="77777777" w:rsidTr="007C2A27">
        <w:trPr>
          <w:trHeight w:val="283"/>
        </w:trPr>
        <w:tc>
          <w:tcPr>
            <w:tcW w:w="1310" w:type="pct"/>
          </w:tcPr>
          <w:p w14:paraId="629EC976" w14:textId="51BDCBBE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Phenolic compounds</w:t>
            </w:r>
          </w:p>
        </w:tc>
        <w:tc>
          <w:tcPr>
            <w:tcW w:w="1253" w:type="pct"/>
          </w:tcPr>
          <w:p w14:paraId="5C0DA109" w14:textId="249E2930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Hexachlorophene</w:t>
            </w:r>
          </w:p>
        </w:tc>
        <w:tc>
          <w:tcPr>
            <w:tcW w:w="666" w:type="pct"/>
          </w:tcPr>
          <w:p w14:paraId="11E7B2CF" w14:textId="73D8E507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-7.63</w:t>
            </w:r>
          </w:p>
        </w:tc>
        <w:tc>
          <w:tcPr>
            <w:tcW w:w="683" w:type="pct"/>
          </w:tcPr>
          <w:p w14:paraId="00C36F31" w14:textId="62D73008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83.33</w:t>
            </w:r>
          </w:p>
        </w:tc>
        <w:tc>
          <w:tcPr>
            <w:tcW w:w="687" w:type="pct"/>
          </w:tcPr>
          <w:p w14:paraId="648D62EC" w14:textId="745A91B9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402" w:type="pct"/>
          </w:tcPr>
          <w:p w14:paraId="1F18D373" w14:textId="519558D9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41A53" w:rsidRPr="00541A53" w14:paraId="294924A7" w14:textId="77777777" w:rsidTr="007C2A27">
        <w:trPr>
          <w:trHeight w:val="283"/>
        </w:trPr>
        <w:tc>
          <w:tcPr>
            <w:tcW w:w="1310" w:type="pct"/>
          </w:tcPr>
          <w:p w14:paraId="21825C42" w14:textId="0AE3EED1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Antiviral drug (reference)</w:t>
            </w:r>
          </w:p>
        </w:tc>
        <w:tc>
          <w:tcPr>
            <w:tcW w:w="1253" w:type="pct"/>
          </w:tcPr>
          <w:p w14:paraId="23165864" w14:textId="00A3A876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Remdesivir</w:t>
            </w:r>
          </w:p>
        </w:tc>
        <w:tc>
          <w:tcPr>
            <w:tcW w:w="666" w:type="pct"/>
          </w:tcPr>
          <w:p w14:paraId="2B49BA3D" w14:textId="2E515BD9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-7.85</w:t>
            </w:r>
          </w:p>
        </w:tc>
        <w:tc>
          <w:tcPr>
            <w:tcW w:w="683" w:type="pct"/>
          </w:tcPr>
          <w:p w14:paraId="467A7BB2" w14:textId="023D62BC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61.11</w:t>
            </w:r>
          </w:p>
        </w:tc>
        <w:tc>
          <w:tcPr>
            <w:tcW w:w="687" w:type="pct"/>
          </w:tcPr>
          <w:p w14:paraId="63E824B8" w14:textId="784887D4" w:rsidR="00541A53" w:rsidRPr="00541A53" w:rsidRDefault="007C2A27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 M*</w:t>
            </w:r>
          </w:p>
        </w:tc>
        <w:tc>
          <w:tcPr>
            <w:tcW w:w="402" w:type="pct"/>
          </w:tcPr>
          <w:p w14:paraId="5BD58481" w14:textId="3D3340E3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541A53" w:rsidRPr="00541A53" w14:paraId="6356E2FC" w14:textId="77777777" w:rsidTr="007C2A27">
        <w:tc>
          <w:tcPr>
            <w:tcW w:w="1310" w:type="pct"/>
            <w:tcBorders>
              <w:bottom w:val="single" w:sz="4" w:space="0" w:color="auto"/>
            </w:tcBorders>
          </w:tcPr>
          <w:p w14:paraId="01AF4C07" w14:textId="2092A22B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Phytochemicals</w:t>
            </w: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EC191E0" w14:textId="211A1BF5" w:rsidR="00541A53" w:rsidRPr="00541A53" w:rsidRDefault="00541A53" w:rsidP="003150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Rutin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630635A9" w14:textId="12D25489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-8.49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004574D5" w14:textId="2A01C025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66.67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039FBA18" w14:textId="20352402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33.52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21B2CC5D" w14:textId="42BDC0C1" w:rsidR="00541A53" w:rsidRPr="00541A53" w:rsidRDefault="00541A53" w:rsidP="003150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A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B04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45B8732F" w14:textId="0AA310AA" w:rsidR="007C2A27" w:rsidRPr="00E84301" w:rsidRDefault="007C2A27" w:rsidP="007C2A27">
      <w:pPr>
        <w:rPr>
          <w:rFonts w:ascii="Times New Roman" w:hAnsi="Times New Roman" w:cs="Times New Roman"/>
          <w:sz w:val="18"/>
          <w:szCs w:val="18"/>
        </w:rPr>
      </w:pPr>
      <w:r w:rsidRPr="00E84301">
        <w:rPr>
          <w:rFonts w:ascii="Times New Roman" w:hAnsi="Times New Roman" w:cs="Times New Roman"/>
          <w:sz w:val="18"/>
          <w:szCs w:val="18"/>
        </w:rPr>
        <w:t>*M denotes million US$</w:t>
      </w:r>
      <w:r w:rsidR="00E511E2">
        <w:rPr>
          <w:rFonts w:ascii="Times New Roman" w:hAnsi="Times New Roman" w:cs="Times New Roman"/>
          <w:sz w:val="18"/>
          <w:szCs w:val="18"/>
        </w:rPr>
        <w:t>, where 1 vial is equal to 100 mg and priced at US$520.</w:t>
      </w:r>
    </w:p>
    <w:p w14:paraId="71160CEC" w14:textId="77777777" w:rsidR="00541A53" w:rsidRDefault="00541A53"/>
    <w:p w14:paraId="6427A926" w14:textId="77777777" w:rsidR="00541A53" w:rsidRDefault="00541A53"/>
    <w:p w14:paraId="3F6C91AE" w14:textId="77777777" w:rsidR="006E3549" w:rsidRDefault="006E3549"/>
    <w:p w14:paraId="4128939B" w14:textId="77777777" w:rsidR="006E3549" w:rsidRDefault="006E3549"/>
    <w:p w14:paraId="2BC1F095" w14:textId="77777777" w:rsidR="006E3549" w:rsidRDefault="006E3549"/>
    <w:p w14:paraId="12A433DD" w14:textId="77777777" w:rsidR="006E3549" w:rsidRDefault="006E3549"/>
    <w:p w14:paraId="1C561DCA" w14:textId="77777777" w:rsidR="006E3549" w:rsidRDefault="006E3549"/>
    <w:p w14:paraId="59D28C53" w14:textId="77777777" w:rsidR="006E3549" w:rsidRDefault="006E3549"/>
    <w:p w14:paraId="222DEC17" w14:textId="77777777" w:rsidR="006E3549" w:rsidRDefault="006E3549"/>
    <w:p w14:paraId="13489CBE" w14:textId="77777777" w:rsidR="006E3549" w:rsidRDefault="006E3549"/>
    <w:p w14:paraId="402E036B" w14:textId="77777777" w:rsidR="006E3549" w:rsidRDefault="006E3549"/>
    <w:p w14:paraId="7F485951" w14:textId="77777777" w:rsidR="006E3549" w:rsidRDefault="006E3549"/>
    <w:p w14:paraId="05BD4647" w14:textId="77777777" w:rsidR="006E3549" w:rsidRDefault="006E3549"/>
    <w:p w14:paraId="5F1E2AA1" w14:textId="77777777" w:rsidR="006E3549" w:rsidRDefault="006E3549"/>
    <w:p w14:paraId="0FC59ACA" w14:textId="77777777" w:rsidR="006E3549" w:rsidRDefault="006E3549"/>
    <w:p w14:paraId="4F72FE4D" w14:textId="77777777" w:rsidR="006E3549" w:rsidRDefault="006E3549"/>
    <w:p w14:paraId="07BC5E29" w14:textId="77777777" w:rsidR="006E3549" w:rsidRDefault="006E3549"/>
    <w:p w14:paraId="0258078E" w14:textId="77777777" w:rsidR="006E3549" w:rsidRDefault="006E3549"/>
    <w:sectPr w:rsidR="006E3549" w:rsidSect="000E3B33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61CA" w14:textId="77777777" w:rsidR="00182AA1" w:rsidRDefault="00182AA1" w:rsidP="00182AA1">
      <w:pPr>
        <w:spacing w:after="0" w:line="240" w:lineRule="auto"/>
      </w:pPr>
      <w:r>
        <w:separator/>
      </w:r>
    </w:p>
  </w:endnote>
  <w:endnote w:type="continuationSeparator" w:id="0">
    <w:p w14:paraId="1995B497" w14:textId="77777777" w:rsidR="00182AA1" w:rsidRDefault="00182AA1" w:rsidP="0018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3E59" w14:textId="77777777" w:rsidR="00182AA1" w:rsidRDefault="00182AA1" w:rsidP="00182AA1">
      <w:pPr>
        <w:spacing w:after="0" w:line="240" w:lineRule="auto"/>
      </w:pPr>
      <w:r>
        <w:separator/>
      </w:r>
    </w:p>
  </w:footnote>
  <w:footnote w:type="continuationSeparator" w:id="0">
    <w:p w14:paraId="4787E329" w14:textId="77777777" w:rsidR="00182AA1" w:rsidRDefault="00182AA1" w:rsidP="00182AA1">
      <w:pPr>
        <w:spacing w:after="0" w:line="240" w:lineRule="auto"/>
      </w:pPr>
      <w:r>
        <w:continuationSeparator/>
      </w:r>
    </w:p>
  </w:footnote>
  <w:footnote w:id="1">
    <w:p w14:paraId="07FB897C" w14:textId="3EDFBAA4" w:rsidR="00FA1F07" w:rsidRPr="00FA1F07" w:rsidRDefault="00FA1F07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FA1F0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FA1F07">
        <w:rPr>
          <w:rFonts w:ascii="Times New Roman" w:hAnsi="Times New Roman" w:cs="Times New Roman"/>
          <w:sz w:val="16"/>
          <w:szCs w:val="16"/>
        </w:rPr>
        <w:t xml:space="preserve"> Kuo, H. W. D., Zure, D., &amp; Lin, C. R. (2023). Occurrences of similar viral diversity in campus wastewater and reclaimed water of a university dormitory. Chemosphere, 330, 138713. https://doi.org/10.1016/j.chemosphere.2023.138713</w:t>
      </w:r>
    </w:p>
  </w:footnote>
  <w:footnote w:id="2">
    <w:p w14:paraId="477098B9" w14:textId="7C0EF825" w:rsidR="00DB3A93" w:rsidRPr="00DB3A93" w:rsidRDefault="00DB3A93">
      <w:pPr>
        <w:pStyle w:val="FootnoteText"/>
        <w:rPr>
          <w:rFonts w:ascii="Times New Roman" w:hAnsi="Times New Roman" w:cs="Times New Roman"/>
        </w:rPr>
      </w:pPr>
      <w:r w:rsidRPr="00DB3A93">
        <w:rPr>
          <w:rStyle w:val="FootnoteReference"/>
          <w:rFonts w:ascii="Times New Roman" w:hAnsi="Times New Roman" w:cs="Times New Roman"/>
        </w:rPr>
        <w:footnoteRef/>
      </w:r>
      <w:r w:rsidRPr="00DB3A93">
        <w:rPr>
          <w:rFonts w:ascii="Times New Roman" w:hAnsi="Times New Roman" w:cs="Times New Roman"/>
        </w:rPr>
        <w:t xml:space="preserve"> Chemicalbook (2024). Chemicalbook. Chemicalbook. url: </w:t>
      </w:r>
      <w:hyperlink r:id="rId1" w:history="1">
        <w:r w:rsidRPr="00DB3A93">
          <w:rPr>
            <w:rStyle w:val="Hyperlink"/>
            <w:rFonts w:ascii="Times New Roman" w:hAnsi="Times New Roman" w:cs="Times New Roman"/>
            <w:color w:val="auto"/>
            <w:u w:val="none"/>
          </w:rPr>
          <w:t>https://www.chemicalbook.com/</w:t>
        </w:r>
      </w:hyperlink>
    </w:p>
    <w:p w14:paraId="4E64AB9E" w14:textId="77777777" w:rsidR="00DB3A93" w:rsidRPr="00DB3A93" w:rsidRDefault="00DB3A93">
      <w:pPr>
        <w:pStyle w:val="FootnoteText"/>
        <w:rPr>
          <w:rFonts w:ascii="Times New Roman" w:hAnsi="Times New Roman" w:cs="Times New Roman"/>
        </w:rPr>
      </w:pPr>
    </w:p>
  </w:footnote>
  <w:footnote w:id="3">
    <w:p w14:paraId="3025CE34" w14:textId="206E764D" w:rsidR="00DB3A93" w:rsidRDefault="00DB3A93">
      <w:pPr>
        <w:pStyle w:val="FootnoteText"/>
      </w:pPr>
      <w:r w:rsidRPr="00DB3A93">
        <w:rPr>
          <w:rStyle w:val="FootnoteReference"/>
          <w:rFonts w:ascii="Times New Roman" w:hAnsi="Times New Roman" w:cs="Times New Roman"/>
        </w:rPr>
        <w:footnoteRef/>
      </w:r>
      <w:r w:rsidRPr="00DB3A93">
        <w:rPr>
          <w:rFonts w:ascii="Times New Roman" w:hAnsi="Times New Roman" w:cs="Times New Roman"/>
        </w:rPr>
        <w:t xml:space="preserve"> Gilead Sciences (2024). Gilead Sciences. Gilead Sciences Inc. url: https://www.gilead.com/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14"/>
    <w:rsid w:val="000320AF"/>
    <w:rsid w:val="000B4461"/>
    <w:rsid w:val="000C6206"/>
    <w:rsid w:val="000E26AB"/>
    <w:rsid w:val="000E3B33"/>
    <w:rsid w:val="000F6DDC"/>
    <w:rsid w:val="00134676"/>
    <w:rsid w:val="00161A8A"/>
    <w:rsid w:val="00181729"/>
    <w:rsid w:val="00182AA1"/>
    <w:rsid w:val="001D55FB"/>
    <w:rsid w:val="001F2451"/>
    <w:rsid w:val="0020798A"/>
    <w:rsid w:val="002126D1"/>
    <w:rsid w:val="0022367D"/>
    <w:rsid w:val="0023238A"/>
    <w:rsid w:val="002D1675"/>
    <w:rsid w:val="003150C5"/>
    <w:rsid w:val="00373914"/>
    <w:rsid w:val="0038401B"/>
    <w:rsid w:val="00386682"/>
    <w:rsid w:val="003A40D2"/>
    <w:rsid w:val="003A7AC1"/>
    <w:rsid w:val="003C089B"/>
    <w:rsid w:val="003C44C1"/>
    <w:rsid w:val="003F474F"/>
    <w:rsid w:val="003F6038"/>
    <w:rsid w:val="003F6B4E"/>
    <w:rsid w:val="00401A03"/>
    <w:rsid w:val="004305CF"/>
    <w:rsid w:val="004428DB"/>
    <w:rsid w:val="004969E2"/>
    <w:rsid w:val="004A54E6"/>
    <w:rsid w:val="00541A53"/>
    <w:rsid w:val="005549F9"/>
    <w:rsid w:val="00560348"/>
    <w:rsid w:val="005F75AE"/>
    <w:rsid w:val="005F7C84"/>
    <w:rsid w:val="00630AE2"/>
    <w:rsid w:val="00634016"/>
    <w:rsid w:val="006E3549"/>
    <w:rsid w:val="00745971"/>
    <w:rsid w:val="007C2A27"/>
    <w:rsid w:val="007F45D8"/>
    <w:rsid w:val="007F52CD"/>
    <w:rsid w:val="00801667"/>
    <w:rsid w:val="00807C57"/>
    <w:rsid w:val="00865B79"/>
    <w:rsid w:val="00880DEE"/>
    <w:rsid w:val="008A0634"/>
    <w:rsid w:val="008D44BD"/>
    <w:rsid w:val="008E6A7E"/>
    <w:rsid w:val="009723E4"/>
    <w:rsid w:val="00C37DFA"/>
    <w:rsid w:val="00C403ED"/>
    <w:rsid w:val="00CC31A9"/>
    <w:rsid w:val="00D4709D"/>
    <w:rsid w:val="00D65159"/>
    <w:rsid w:val="00DB04F9"/>
    <w:rsid w:val="00DB283C"/>
    <w:rsid w:val="00DB3A93"/>
    <w:rsid w:val="00DB4D83"/>
    <w:rsid w:val="00DB714D"/>
    <w:rsid w:val="00DB757F"/>
    <w:rsid w:val="00DC6657"/>
    <w:rsid w:val="00DE5272"/>
    <w:rsid w:val="00DF72BA"/>
    <w:rsid w:val="00E511E2"/>
    <w:rsid w:val="00EB1DF1"/>
    <w:rsid w:val="00F86A0C"/>
    <w:rsid w:val="00F974E3"/>
    <w:rsid w:val="00FA1F07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2EF5B9"/>
  <w15:chartTrackingRefBased/>
  <w15:docId w15:val="{6D4809AA-7945-4C42-9215-954274F1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A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9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9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9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9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9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9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9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9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91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3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91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73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9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AA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2AA1"/>
  </w:style>
  <w:style w:type="paragraph" w:styleId="Footer">
    <w:name w:val="footer"/>
    <w:basedOn w:val="Normal"/>
    <w:link w:val="FooterChar"/>
    <w:uiPriority w:val="99"/>
    <w:unhideWhenUsed/>
    <w:rsid w:val="00182AA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2AA1"/>
  </w:style>
  <w:style w:type="table" w:styleId="TableGrid">
    <w:name w:val="Table Grid"/>
    <w:basedOn w:val="TableNormal"/>
    <w:uiPriority w:val="39"/>
    <w:rsid w:val="00182AA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3A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A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A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3A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A9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E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emical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70F5A7-8112-489D-BDDF-5B5BC0B3A7CE}">
  <we:reference id="wa200001361" version="2.2.1.0" store="en-US" storeType="OMEX"/>
  <we:alternateReferences>
    <we:reference id="wa200001361" version="2.2.1.0" store="WA200001361" storeType="OMEX"/>
  </we:alternateReferences>
  <we:properties>
    <we:property name="paperpal-document-id" value="&quot;cf93ec87-817a-40a4-b268-db2bdb985ac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CBAD-2372-4773-AAC9-78A33675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Diaiti Zure</dc:creator>
  <cp:keywords/>
  <dc:description/>
  <cp:lastModifiedBy>Diaiti Zure</cp:lastModifiedBy>
  <cp:revision>58</cp:revision>
  <dcterms:created xsi:type="dcterms:W3CDTF">2024-03-14T08:30:00Z</dcterms:created>
  <dcterms:modified xsi:type="dcterms:W3CDTF">2024-04-29T03:48:00Z</dcterms:modified>
</cp:coreProperties>
</file>