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51" w:rsidRPr="00754B51" w:rsidRDefault="00754B51" w:rsidP="00754B51">
      <w:pPr>
        <w:suppressAutoHyphens/>
        <w:spacing w:after="120" w:line="228" w:lineRule="auto"/>
        <w:ind w:left="567"/>
        <w:jc w:val="both"/>
        <w:rPr>
          <w:rFonts w:ascii="Palatino Linotype" w:eastAsia="Palatino Linotype" w:hAnsi="Palatino Linotype" w:cs="Palatino Linotype"/>
          <w:sz w:val="18"/>
          <w:szCs w:val="18"/>
          <w:lang w:val="en-US" w:eastAsia="ru-RU"/>
        </w:rPr>
      </w:pPr>
      <w:r w:rsidRPr="00754B51">
        <w:rPr>
          <w:rFonts w:ascii="Palatino Linotype" w:eastAsia="Palatino Linotype" w:hAnsi="Palatino Linotype" w:cs="Palatino Linotype"/>
          <w:noProof/>
          <w:sz w:val="20"/>
          <w:szCs w:val="20"/>
          <w:lang w:eastAsia="ru-RU"/>
        </w:rPr>
        <w:drawing>
          <wp:inline distT="0" distB="0" distL="0" distR="0" wp14:anchorId="06144EE6" wp14:editId="54238A8C">
            <wp:extent cx="6645910" cy="2747010"/>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7"/>
                    <pic:cNvPicPr>
                      <a:picLocks noChangeAspect="1" noChangeArrowheads="1"/>
                    </pic:cNvPicPr>
                  </pic:nvPicPr>
                  <pic:blipFill>
                    <a:blip r:embed="rId6"/>
                    <a:stretch>
                      <a:fillRect/>
                    </a:stretch>
                  </pic:blipFill>
                  <pic:spPr bwMode="auto">
                    <a:xfrm>
                      <a:off x="0" y="0"/>
                      <a:ext cx="6645910" cy="2747010"/>
                    </a:xfrm>
                    <a:prstGeom prst="rect">
                      <a:avLst/>
                    </a:prstGeom>
                  </pic:spPr>
                </pic:pic>
              </a:graphicData>
            </a:graphic>
          </wp:inline>
        </w:drawing>
      </w:r>
    </w:p>
    <w:p w:rsidR="00754B51" w:rsidRPr="00754B51" w:rsidRDefault="00754B51" w:rsidP="00754B51">
      <w:pPr>
        <w:suppressAutoHyphens/>
        <w:spacing w:after="120" w:line="228" w:lineRule="auto"/>
        <w:ind w:left="2608"/>
        <w:jc w:val="both"/>
        <w:rPr>
          <w:rFonts w:ascii="Palatino Linotype" w:eastAsia="Palatino Linotype" w:hAnsi="Palatino Linotype" w:cs="Palatino Linotype"/>
          <w:sz w:val="20"/>
          <w:szCs w:val="18"/>
          <w:lang w:val="en-US" w:eastAsia="ru-RU"/>
        </w:rPr>
      </w:pPr>
      <w:r w:rsidRPr="00754B51">
        <w:rPr>
          <w:rFonts w:ascii="Palatino Linotype" w:eastAsia="Palatino Linotype" w:hAnsi="Palatino Linotype" w:cs="Palatino Linotype"/>
          <w:b/>
          <w:sz w:val="20"/>
          <w:szCs w:val="18"/>
          <w:lang w:val="en-US" w:eastAsia="ru-RU"/>
        </w:rPr>
        <w:t>Suppl. Figure 1.</w:t>
      </w:r>
      <w:r w:rsidRPr="00754B51">
        <w:rPr>
          <w:rFonts w:ascii="Palatino Linotype" w:eastAsia="Palatino Linotype" w:hAnsi="Palatino Linotype" w:cs="Palatino Linotype"/>
          <w:sz w:val="20"/>
          <w:szCs w:val="18"/>
          <w:lang w:val="en-US" w:eastAsia="ru-RU"/>
        </w:rPr>
        <w:t xml:space="preserve"> Effects of different (a). InDels and (b). SNPs on gene structure ranged by type and region. Figure was generated by </w:t>
      </w:r>
      <w:proofErr w:type="spellStart"/>
      <w:r w:rsidRPr="00754B51">
        <w:rPr>
          <w:rFonts w:ascii="Palatino Linotype" w:eastAsia="Palatino Linotype" w:hAnsi="Palatino Linotype" w:cs="Palatino Linotype"/>
          <w:sz w:val="20"/>
          <w:szCs w:val="18"/>
          <w:lang w:val="en-US" w:eastAsia="ru-RU"/>
        </w:rPr>
        <w:t>SnpEff</w:t>
      </w:r>
      <w:proofErr w:type="spellEnd"/>
      <w:r w:rsidRPr="00754B51">
        <w:rPr>
          <w:rFonts w:ascii="Palatino Linotype" w:eastAsia="Palatino Linotype" w:hAnsi="Palatino Linotype" w:cs="Palatino Linotype"/>
          <w:sz w:val="20"/>
          <w:szCs w:val="18"/>
          <w:lang w:val="en-US" w:eastAsia="ru-RU"/>
        </w:rPr>
        <w:t xml:space="preserve"> programme.</w:t>
      </w:r>
    </w:p>
    <w:p w:rsidR="00754B51" w:rsidRPr="00754B51" w:rsidRDefault="00754B51" w:rsidP="00754B51">
      <w:pPr>
        <w:tabs>
          <w:tab w:val="left" w:pos="1276"/>
        </w:tabs>
        <w:suppressAutoHyphens/>
        <w:spacing w:after="120" w:line="276" w:lineRule="auto"/>
        <w:ind w:left="709" w:right="1110"/>
        <w:jc w:val="both"/>
        <w:rPr>
          <w:rFonts w:ascii="Palatino Linotype" w:eastAsia="Palatino Linotype" w:hAnsi="Palatino Linotype" w:cs="Palatino Linotype"/>
          <w:sz w:val="18"/>
          <w:szCs w:val="18"/>
          <w:lang w:val="en-US" w:eastAsia="ru-RU"/>
        </w:rPr>
      </w:pPr>
      <w:r w:rsidRPr="00754B51">
        <w:rPr>
          <w:rFonts w:ascii="Palatino Linotype" w:eastAsia="Palatino Linotype" w:hAnsi="Palatino Linotype" w:cs="Palatino Linotype"/>
          <w:sz w:val="18"/>
          <w:szCs w:val="18"/>
          <w:lang w:val="en-US" w:eastAsia="ru-RU"/>
        </w:rPr>
        <w:t xml:space="preserve"> </w:t>
      </w:r>
      <w:r w:rsidRPr="00754B51">
        <w:rPr>
          <w:rFonts w:ascii="Palatino Linotype" w:eastAsia="Palatino Linotype" w:hAnsi="Palatino Linotype" w:cs="Palatino Linotype"/>
          <w:noProof/>
          <w:sz w:val="20"/>
          <w:szCs w:val="20"/>
          <w:lang w:eastAsia="ru-RU"/>
        </w:rPr>
        <w:drawing>
          <wp:inline distT="0" distB="0" distL="0" distR="0" wp14:anchorId="7286F127" wp14:editId="3DDE4C45">
            <wp:extent cx="6645910" cy="37941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7"/>
                    <a:stretch>
                      <a:fillRect/>
                    </a:stretch>
                  </pic:blipFill>
                  <pic:spPr bwMode="auto">
                    <a:xfrm>
                      <a:off x="0" y="0"/>
                      <a:ext cx="6645910" cy="3794125"/>
                    </a:xfrm>
                    <a:prstGeom prst="rect">
                      <a:avLst/>
                    </a:prstGeom>
                  </pic:spPr>
                </pic:pic>
              </a:graphicData>
            </a:graphic>
          </wp:inline>
        </w:drawing>
      </w:r>
    </w:p>
    <w:p w:rsidR="00754B51" w:rsidRPr="00754B51" w:rsidRDefault="00754B51" w:rsidP="00754B51">
      <w:pPr>
        <w:suppressAutoHyphens/>
        <w:spacing w:after="120" w:line="240" w:lineRule="auto"/>
        <w:ind w:left="2160"/>
        <w:jc w:val="both"/>
        <w:rPr>
          <w:rFonts w:ascii="Palatino Linotype" w:eastAsia="Palatino Linotype" w:hAnsi="Palatino Linotype" w:cs="Palatino Linotype"/>
          <w:sz w:val="20"/>
          <w:szCs w:val="20"/>
          <w:lang w:val="en-US" w:eastAsia="ru-RU"/>
        </w:rPr>
      </w:pPr>
      <w:r w:rsidRPr="00754B51">
        <w:rPr>
          <w:rFonts w:ascii="Palatino Linotype" w:eastAsia="Palatino Linotype" w:hAnsi="Palatino Linotype" w:cs="Palatino Linotype"/>
          <w:b/>
          <w:sz w:val="20"/>
          <w:szCs w:val="20"/>
          <w:lang w:val="en-US" w:eastAsia="ru-RU"/>
        </w:rPr>
        <w:t>Suppl. Figure 2.</w:t>
      </w:r>
      <w:r w:rsidRPr="00754B51">
        <w:rPr>
          <w:rFonts w:ascii="Palatino Linotype" w:eastAsia="Palatino Linotype" w:hAnsi="Palatino Linotype" w:cs="Palatino Linotype"/>
          <w:sz w:val="20"/>
          <w:szCs w:val="20"/>
          <w:lang w:val="en-US" w:eastAsia="ru-RU"/>
        </w:rPr>
        <w:t xml:space="preserve"> Predicted domains in the structure of the CLE proteins of</w:t>
      </w:r>
      <w:r w:rsidRPr="00754B51">
        <w:rPr>
          <w:rFonts w:ascii="Palatino Linotype" w:eastAsia="Palatino Linotype" w:hAnsi="Palatino Linotype" w:cs="Palatino Linotype"/>
          <w:i/>
          <w:sz w:val="20"/>
          <w:szCs w:val="20"/>
          <w:lang w:val="en-US" w:eastAsia="ru-RU"/>
        </w:rPr>
        <w:t xml:space="preserve"> R.sativus </w:t>
      </w:r>
      <w:r w:rsidRPr="00754B51">
        <w:rPr>
          <w:rFonts w:ascii="Palatino Linotype" w:eastAsia="Palatino Linotype" w:hAnsi="Palatino Linotype" w:cs="Palatino Linotype"/>
          <w:sz w:val="20"/>
          <w:szCs w:val="20"/>
          <w:lang w:val="en-US" w:eastAsia="ru-RU"/>
        </w:rPr>
        <w:t>line 19. Figure was generated by the MEME online tool (</w:t>
      </w:r>
      <w:hyperlink r:id="rId8">
        <w:r w:rsidRPr="00754B51">
          <w:rPr>
            <w:rFonts w:ascii="Palatino Linotype" w:eastAsia="Palatino Linotype" w:hAnsi="Palatino Linotype" w:cs="Palatino Linotype"/>
            <w:sz w:val="20"/>
            <w:szCs w:val="20"/>
            <w:lang w:val="en-US" w:eastAsia="ru-RU"/>
          </w:rPr>
          <w:t>https://meme-suite.org/meme/tools/meme</w:t>
        </w:r>
      </w:hyperlink>
      <w:r w:rsidRPr="00754B51">
        <w:rPr>
          <w:rFonts w:ascii="Palatino Linotype" w:eastAsia="Palatino Linotype" w:hAnsi="Palatino Linotype" w:cs="Palatino Linotype"/>
          <w:sz w:val="20"/>
          <w:szCs w:val="20"/>
          <w:lang w:val="en-US" w:eastAsia="ru-RU"/>
        </w:rPr>
        <w:t>) available on 25.01.2024).</w:t>
      </w:r>
    </w:p>
    <w:p w:rsidR="00754B51" w:rsidRPr="00754B51" w:rsidRDefault="00754B51" w:rsidP="00754B51">
      <w:pPr>
        <w:suppressAutoHyphens/>
        <w:spacing w:before="240" w:after="120" w:line="276" w:lineRule="auto"/>
        <w:ind w:left="2600"/>
        <w:jc w:val="both"/>
        <w:rPr>
          <w:rFonts w:ascii="Palatino Linotype" w:eastAsia="Palatino Linotype" w:hAnsi="Palatino Linotype" w:cs="Palatino Linotype"/>
          <w:sz w:val="18"/>
          <w:szCs w:val="18"/>
          <w:lang w:val="en-US" w:eastAsia="ru-RU"/>
        </w:rPr>
      </w:pPr>
    </w:p>
    <w:p w:rsidR="00754B51" w:rsidRPr="00754B51" w:rsidRDefault="00754B51" w:rsidP="00754B51">
      <w:pPr>
        <w:suppressAutoHyphens/>
        <w:spacing w:before="240" w:after="120" w:line="276" w:lineRule="auto"/>
        <w:ind w:left="2835" w:hanging="1418"/>
        <w:jc w:val="both"/>
        <w:rPr>
          <w:rFonts w:ascii="Palatino Linotype" w:eastAsia="Palatino Linotype" w:hAnsi="Palatino Linotype" w:cs="Palatino Linotype"/>
          <w:sz w:val="18"/>
          <w:szCs w:val="18"/>
          <w:lang w:val="en-US" w:eastAsia="ru-RU"/>
        </w:rPr>
      </w:pPr>
      <w:r w:rsidRPr="00754B51">
        <w:rPr>
          <w:rFonts w:ascii="Palatino Linotype" w:eastAsia="Palatino Linotype" w:hAnsi="Palatino Linotype" w:cs="Palatino Linotype"/>
          <w:noProof/>
          <w:sz w:val="20"/>
          <w:szCs w:val="20"/>
          <w:lang w:eastAsia="ru-RU"/>
        </w:rPr>
        <w:lastRenderedPageBreak/>
        <w:drawing>
          <wp:inline distT="0" distB="0" distL="0" distR="0" wp14:anchorId="1420CA83" wp14:editId="4905B617">
            <wp:extent cx="4728845" cy="461962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noChangeArrowheads="1"/>
                    </pic:cNvPicPr>
                  </pic:nvPicPr>
                  <pic:blipFill>
                    <a:blip r:embed="rId9"/>
                    <a:srcRect b="6372"/>
                    <a:stretch>
                      <a:fillRect/>
                    </a:stretch>
                  </pic:blipFill>
                  <pic:spPr bwMode="auto">
                    <a:xfrm>
                      <a:off x="0" y="0"/>
                      <a:ext cx="4728845" cy="4619625"/>
                    </a:xfrm>
                    <a:prstGeom prst="rect">
                      <a:avLst/>
                    </a:prstGeom>
                  </pic:spPr>
                </pic:pic>
              </a:graphicData>
            </a:graphic>
          </wp:inline>
        </w:drawing>
      </w:r>
    </w:p>
    <w:p w:rsidR="00754B51" w:rsidRPr="00754B51" w:rsidRDefault="00754B51" w:rsidP="00754B51">
      <w:pPr>
        <w:suppressAutoHyphens/>
        <w:spacing w:before="240" w:after="120" w:line="240" w:lineRule="auto"/>
        <w:ind w:left="1418"/>
        <w:jc w:val="both"/>
        <w:rPr>
          <w:rFonts w:ascii="Palatino Linotype" w:eastAsia="Palatino Linotype" w:hAnsi="Palatino Linotype" w:cs="Palatino Linotype"/>
          <w:sz w:val="20"/>
          <w:szCs w:val="20"/>
          <w:lang w:val="en-US" w:eastAsia="ru-RU"/>
        </w:rPr>
      </w:pPr>
      <w:r w:rsidRPr="00754B51">
        <w:rPr>
          <w:rFonts w:ascii="Palatino Linotype" w:eastAsia="Palatino Linotype" w:hAnsi="Palatino Linotype" w:cs="Palatino Linotype"/>
          <w:b/>
          <w:sz w:val="20"/>
          <w:szCs w:val="20"/>
          <w:lang w:val="en-US" w:eastAsia="ru-RU"/>
        </w:rPr>
        <w:t>Suppl. Figure 3.</w:t>
      </w:r>
      <w:r w:rsidRPr="00754B51">
        <w:rPr>
          <w:rFonts w:ascii="Palatino Linotype" w:eastAsia="Palatino Linotype" w:hAnsi="Palatino Linotype" w:cs="Palatino Linotype"/>
          <w:sz w:val="20"/>
          <w:szCs w:val="20"/>
          <w:lang w:val="en-US" w:eastAsia="ru-RU"/>
        </w:rPr>
        <w:t xml:space="preserve"> Predicted domains in the structure of the WOX proteins of</w:t>
      </w:r>
      <w:r w:rsidRPr="00754B51">
        <w:rPr>
          <w:rFonts w:ascii="Palatino Linotype" w:eastAsia="Palatino Linotype" w:hAnsi="Palatino Linotype" w:cs="Palatino Linotype"/>
          <w:i/>
          <w:sz w:val="20"/>
          <w:szCs w:val="20"/>
          <w:lang w:val="en-US" w:eastAsia="ru-RU"/>
        </w:rPr>
        <w:t xml:space="preserve"> R. sativus </w:t>
      </w:r>
      <w:r w:rsidRPr="00754B51">
        <w:rPr>
          <w:rFonts w:ascii="Palatino Linotype" w:eastAsia="Palatino Linotype" w:hAnsi="Palatino Linotype" w:cs="Palatino Linotype"/>
          <w:sz w:val="20"/>
          <w:szCs w:val="20"/>
          <w:lang w:val="en-US" w:eastAsia="ru-RU"/>
        </w:rPr>
        <w:t>line 19. The figure was generated by the MEME on</w:t>
      </w:r>
      <w:bookmarkStart w:id="0" w:name="_GoBack"/>
      <w:bookmarkEnd w:id="0"/>
      <w:r w:rsidRPr="00754B51">
        <w:rPr>
          <w:rFonts w:ascii="Palatino Linotype" w:eastAsia="Palatino Linotype" w:hAnsi="Palatino Linotype" w:cs="Palatino Linotype"/>
          <w:sz w:val="20"/>
          <w:szCs w:val="20"/>
          <w:lang w:val="en-US" w:eastAsia="ru-RU"/>
        </w:rPr>
        <w:t>line tool ((</w:t>
      </w:r>
      <w:hyperlink r:id="rId10">
        <w:r w:rsidRPr="00754B51">
          <w:rPr>
            <w:rFonts w:ascii="Palatino Linotype" w:eastAsia="Palatino Linotype" w:hAnsi="Palatino Linotype" w:cs="Palatino Linotype"/>
            <w:sz w:val="20"/>
            <w:szCs w:val="20"/>
            <w:lang w:val="en-US" w:eastAsia="ru-RU"/>
          </w:rPr>
          <w:t>https://meme-suite.org/meme/tools/meme</w:t>
        </w:r>
      </w:hyperlink>
      <w:r w:rsidRPr="00754B51">
        <w:rPr>
          <w:rFonts w:ascii="Palatino Linotype" w:eastAsia="Palatino Linotype" w:hAnsi="Palatino Linotype" w:cs="Palatino Linotype"/>
          <w:sz w:val="20"/>
          <w:szCs w:val="20"/>
          <w:lang w:val="en-US" w:eastAsia="ru-RU"/>
        </w:rPr>
        <w:t>) available on 25.01.2024).</w:t>
      </w:r>
    </w:p>
    <w:p w:rsidR="00754B51" w:rsidRPr="00754B51" w:rsidRDefault="00754B51" w:rsidP="00754B51">
      <w:pPr>
        <w:suppressAutoHyphens/>
        <w:spacing w:before="240" w:after="120" w:line="228" w:lineRule="auto"/>
        <w:ind w:left="1418"/>
        <w:rPr>
          <w:rFonts w:ascii="Palatino Linotype" w:eastAsia="Palatino Linotype" w:hAnsi="Palatino Linotype" w:cs="Palatino Linotype"/>
          <w:b/>
          <w:color w:val="000000"/>
          <w:sz w:val="18"/>
          <w:szCs w:val="18"/>
          <w:lang w:val="en-US" w:eastAsia="ru-RU"/>
        </w:rPr>
      </w:pPr>
      <w:r w:rsidRPr="00754B51">
        <w:rPr>
          <w:rFonts w:ascii="Palatino Linotype" w:eastAsia="Palatino Linotype" w:hAnsi="Palatino Linotype" w:cs="Palatino Linotype"/>
          <w:noProof/>
          <w:sz w:val="20"/>
          <w:szCs w:val="20"/>
          <w:lang w:eastAsia="ru-RU"/>
        </w:rPr>
        <w:drawing>
          <wp:inline distT="0" distB="0" distL="0" distR="0" wp14:anchorId="7B277A87" wp14:editId="349475A5">
            <wp:extent cx="5119179" cy="2465058"/>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7220" cy="2473745"/>
                    </a:xfrm>
                    <a:prstGeom prst="rect">
                      <a:avLst/>
                    </a:prstGeom>
                  </pic:spPr>
                </pic:pic>
              </a:graphicData>
            </a:graphic>
          </wp:inline>
        </w:drawing>
      </w:r>
    </w:p>
    <w:p w:rsidR="00754B51" w:rsidRPr="00754B51" w:rsidRDefault="00754B51" w:rsidP="00754B51">
      <w:pPr>
        <w:suppressAutoHyphens/>
        <w:spacing w:before="240" w:after="120" w:line="228" w:lineRule="auto"/>
        <w:ind w:left="1560"/>
        <w:jc w:val="both"/>
        <w:rPr>
          <w:rFonts w:ascii="Palatino Linotype" w:eastAsia="Palatino Linotype" w:hAnsi="Palatino Linotype" w:cs="Palatino Linotype"/>
          <w:b/>
          <w:color w:val="000000"/>
          <w:sz w:val="18"/>
          <w:szCs w:val="18"/>
          <w:lang w:val="en-US" w:eastAsia="ru-RU"/>
        </w:rPr>
        <w:sectPr w:rsidR="00754B51" w:rsidRPr="00754B51" w:rsidSect="00D42F3D">
          <w:headerReference w:type="default" r:id="rId12"/>
          <w:footerReference w:type="default" r:id="rId13"/>
          <w:pgSz w:w="11906" w:h="16838"/>
          <w:pgMar w:top="1418" w:right="1276" w:bottom="1077" w:left="720" w:header="1021" w:footer="340" w:gutter="0"/>
          <w:lnNumType w:countBy="1" w:distance="284" w:restart="continuous"/>
          <w:pgNumType w:start="1"/>
          <w:cols w:space="720"/>
          <w:formProt w:val="0"/>
          <w:docGrid w:linePitch="100" w:charSpace="24576"/>
        </w:sectPr>
      </w:pPr>
      <w:r w:rsidRPr="00754B51">
        <w:rPr>
          <w:rFonts w:ascii="Palatino Linotype" w:eastAsia="Palatino Linotype" w:hAnsi="Palatino Linotype" w:cs="Arial"/>
          <w:b/>
          <w:sz w:val="20"/>
          <w:szCs w:val="20"/>
          <w:lang w:val="en-US" w:eastAsia="ru-RU"/>
        </w:rPr>
        <w:t>Suppl.</w:t>
      </w:r>
      <w:r w:rsidRPr="00754B51">
        <w:rPr>
          <w:rFonts w:ascii="Palatino Linotype" w:eastAsia="Palatino Linotype" w:hAnsi="Palatino Linotype" w:cs="Arial"/>
          <w:sz w:val="20"/>
          <w:szCs w:val="20"/>
          <w:lang w:val="en-US" w:eastAsia="ru-RU"/>
        </w:rPr>
        <w:t xml:space="preserve"> </w:t>
      </w:r>
      <w:r w:rsidRPr="00754B51">
        <w:rPr>
          <w:rFonts w:ascii="Palatino Linotype" w:eastAsia="Palatino Linotype" w:hAnsi="Palatino Linotype" w:cs="Arial"/>
          <w:b/>
          <w:sz w:val="20"/>
          <w:szCs w:val="20"/>
          <w:lang w:val="en-US" w:eastAsia="ru-RU"/>
        </w:rPr>
        <w:t>Figure 4.</w:t>
      </w:r>
      <w:r w:rsidRPr="00754B51">
        <w:rPr>
          <w:rFonts w:ascii="Palatino Linotype" w:eastAsia="Palatino Linotype" w:hAnsi="Palatino Linotype" w:cs="Arial"/>
          <w:sz w:val="20"/>
          <w:szCs w:val="20"/>
          <w:lang w:val="en-US" w:eastAsia="ru-RU"/>
        </w:rPr>
        <w:t xml:space="preserve"> Schematic representation of genes (a). </w:t>
      </w:r>
      <w:r w:rsidRPr="00754B51">
        <w:rPr>
          <w:rFonts w:ascii="Palatino Linotype" w:eastAsia="Palatino Linotype" w:hAnsi="Palatino Linotype" w:cs="Arial"/>
          <w:i/>
          <w:sz w:val="20"/>
          <w:szCs w:val="20"/>
          <w:lang w:val="en-US" w:eastAsia="ru-RU"/>
        </w:rPr>
        <w:t>RsCLE7</w:t>
      </w:r>
      <w:r w:rsidRPr="00754B51">
        <w:rPr>
          <w:rFonts w:ascii="Palatino Linotype" w:eastAsia="Palatino Linotype" w:hAnsi="Palatino Linotype" w:cs="Arial"/>
          <w:sz w:val="20"/>
          <w:szCs w:val="20"/>
          <w:lang w:val="en-US" w:eastAsia="ru-RU"/>
        </w:rPr>
        <w:t xml:space="preserve">, (b), (c). </w:t>
      </w:r>
      <w:r w:rsidRPr="00754B51">
        <w:rPr>
          <w:rFonts w:ascii="Palatino Linotype" w:eastAsia="Palatino Linotype" w:hAnsi="Palatino Linotype" w:cs="Arial"/>
          <w:i/>
          <w:sz w:val="20"/>
          <w:szCs w:val="20"/>
          <w:lang w:val="en-US" w:eastAsia="ru-RU"/>
        </w:rPr>
        <w:t>RsWOX2</w:t>
      </w:r>
      <w:r w:rsidRPr="00754B51">
        <w:rPr>
          <w:rFonts w:ascii="Palatino Linotype" w:eastAsia="Palatino Linotype" w:hAnsi="Palatino Linotype" w:cs="Arial"/>
          <w:sz w:val="20"/>
          <w:szCs w:val="20"/>
          <w:lang w:val="en-US" w:eastAsia="ru-RU"/>
        </w:rPr>
        <w:t xml:space="preserve">, (d). </w:t>
      </w:r>
      <w:r w:rsidRPr="00754B51">
        <w:rPr>
          <w:rFonts w:ascii="Palatino Linotype" w:eastAsia="Palatino Linotype" w:hAnsi="Palatino Linotype" w:cs="Arial"/>
          <w:i/>
          <w:sz w:val="20"/>
          <w:szCs w:val="20"/>
          <w:lang w:val="en-US" w:eastAsia="ru-RU"/>
        </w:rPr>
        <w:t>RsWOX14</w:t>
      </w:r>
      <w:r w:rsidRPr="00754B51">
        <w:rPr>
          <w:rFonts w:ascii="Palatino Linotype" w:eastAsia="Palatino Linotype" w:hAnsi="Palatino Linotype" w:cs="Arial"/>
          <w:sz w:val="20"/>
          <w:szCs w:val="20"/>
          <w:lang w:val="en-US" w:eastAsia="ru-RU"/>
        </w:rPr>
        <w:t xml:space="preserve"> without SNVs (left parts of the figure) with SNVs (right parts of the figure) and their likely products. For each SNV, its type and effect on the gene product are indicated. SNVs are highlighted in the red box. Radish tumour lines are highlighted in red</w:t>
      </w:r>
      <w:r w:rsidRPr="00754B51">
        <w:rPr>
          <w:rFonts w:ascii="Palatino Linotype" w:eastAsia="Palatino Linotype" w:hAnsi="Palatino Linotype" w:cs="Arial"/>
          <w:b/>
          <w:sz w:val="20"/>
          <w:szCs w:val="20"/>
          <w:lang w:val="en-US" w:eastAsia="ru-RU"/>
        </w:rPr>
        <w:t>.</w:t>
      </w:r>
    </w:p>
    <w:p w:rsidR="00754B51" w:rsidRPr="00754B51" w:rsidRDefault="00754B51" w:rsidP="00754B51">
      <w:pPr>
        <w:suppressAutoHyphens/>
        <w:spacing w:before="240" w:after="120" w:line="228" w:lineRule="auto"/>
        <w:ind w:left="2608"/>
        <w:rPr>
          <w:rFonts w:ascii="Times New Roman" w:eastAsia="Times New Roman" w:hAnsi="Times New Roman" w:cs="Times New Roman"/>
          <w:color w:val="000000"/>
          <w:sz w:val="28"/>
          <w:szCs w:val="24"/>
          <w:lang w:val="en-US" w:eastAsia="ru-RU"/>
        </w:rPr>
      </w:pPr>
      <w:r w:rsidRPr="00754B51">
        <w:rPr>
          <w:rFonts w:ascii="Palatino Linotype" w:eastAsia="Palatino Linotype" w:hAnsi="Palatino Linotype" w:cs="Palatino Linotype"/>
          <w:b/>
          <w:color w:val="000000"/>
          <w:sz w:val="20"/>
          <w:szCs w:val="18"/>
          <w:lang w:val="en-US" w:eastAsia="ru-RU"/>
        </w:rPr>
        <w:lastRenderedPageBreak/>
        <w:t>Suppl. Table 1.</w:t>
      </w:r>
      <w:r w:rsidRPr="00754B51">
        <w:rPr>
          <w:rFonts w:ascii="Palatino Linotype" w:eastAsia="Palatino Linotype" w:hAnsi="Palatino Linotype" w:cs="Palatino Linotype"/>
          <w:color w:val="000000"/>
          <w:sz w:val="20"/>
          <w:szCs w:val="18"/>
          <w:lang w:val="en-US" w:eastAsia="ru-RU"/>
        </w:rPr>
        <w:t xml:space="preserve"> Protein-coding genes with InDels causing disruption of the protein structure in radish tumour line.</w:t>
      </w:r>
    </w:p>
    <w:tbl>
      <w:tblPr>
        <w:tblW w:w="14325" w:type="dxa"/>
        <w:jc w:val="center"/>
        <w:tblLayout w:type="fixed"/>
        <w:tblLook w:val="0400" w:firstRow="0" w:lastRow="0" w:firstColumn="0" w:lastColumn="0" w:noHBand="0" w:noVBand="1"/>
      </w:tblPr>
      <w:tblGrid>
        <w:gridCol w:w="457"/>
        <w:gridCol w:w="1029"/>
        <w:gridCol w:w="500"/>
        <w:gridCol w:w="1855"/>
        <w:gridCol w:w="2865"/>
        <w:gridCol w:w="6055"/>
        <w:gridCol w:w="849"/>
        <w:gridCol w:w="715"/>
      </w:tblGrid>
      <w:tr w:rsidR="00754B51" w:rsidRPr="00754B51" w:rsidTr="00623CB8">
        <w:trPr>
          <w:cantSplit/>
          <w:jc w:val="center"/>
        </w:trPr>
        <w:tc>
          <w:tcPr>
            <w:tcW w:w="456"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eastAsia="ru-RU"/>
              </w:rPr>
            </w:pPr>
            <w:r w:rsidRPr="00754B51">
              <w:rPr>
                <w:rFonts w:ascii="Palatino Linotype" w:eastAsia="Palatino Linotype" w:hAnsi="Palatino Linotype" w:cs="Palatino Linotype"/>
                <w:b/>
                <w:sz w:val="16"/>
                <w:szCs w:val="16"/>
                <w:lang w:eastAsia="ru-RU"/>
              </w:rPr>
              <w:t>№</w:t>
            </w:r>
          </w:p>
        </w:tc>
        <w:tc>
          <w:tcPr>
            <w:tcW w:w="1029"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eastAsia="ru-RU"/>
              </w:rPr>
            </w:pPr>
            <w:proofErr w:type="spellStart"/>
            <w:r w:rsidRPr="00754B51">
              <w:rPr>
                <w:rFonts w:ascii="Palatino Linotype" w:eastAsia="Palatino Linotype" w:hAnsi="Palatino Linotype" w:cs="Palatino Linotype"/>
                <w:b/>
                <w:sz w:val="16"/>
                <w:szCs w:val="16"/>
                <w:lang w:eastAsia="ru-RU"/>
              </w:rPr>
              <w:t>Gene</w:t>
            </w:r>
            <w:proofErr w:type="spellEnd"/>
          </w:p>
        </w:tc>
        <w:tc>
          <w:tcPr>
            <w:tcW w:w="500"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eastAsia="ru-RU"/>
              </w:rPr>
            </w:pPr>
            <w:r w:rsidRPr="00754B51">
              <w:rPr>
                <w:rFonts w:ascii="Palatino Linotype" w:eastAsia="Palatino Linotype" w:hAnsi="Palatino Linotype" w:cs="Palatino Linotype"/>
                <w:b/>
                <w:sz w:val="16"/>
                <w:szCs w:val="16"/>
                <w:lang w:eastAsia="ru-RU"/>
              </w:rPr>
              <w:t>Chr</w:t>
            </w:r>
          </w:p>
        </w:tc>
        <w:tc>
          <w:tcPr>
            <w:tcW w:w="1855"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highlight w:val="white"/>
                <w:lang w:val="en-US" w:eastAsia="ru-RU"/>
              </w:rPr>
            </w:pPr>
            <w:r w:rsidRPr="00754B51">
              <w:rPr>
                <w:rFonts w:ascii="Palatino Linotype" w:eastAsia="Palatino Linotype" w:hAnsi="Palatino Linotype" w:cs="Palatino Linotype"/>
                <w:b/>
                <w:sz w:val="16"/>
                <w:szCs w:val="16"/>
                <w:highlight w:val="white"/>
                <w:lang w:val="en-US" w:eastAsia="ru-RU"/>
              </w:rPr>
              <w:t>The radish homolog ID in the NCBI database</w:t>
            </w:r>
          </w:p>
        </w:tc>
        <w:tc>
          <w:tcPr>
            <w:tcW w:w="2865"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eastAsia="ru-RU"/>
              </w:rPr>
            </w:pPr>
            <w:r w:rsidRPr="00754B51">
              <w:rPr>
                <w:rFonts w:ascii="Palatino Linotype" w:eastAsia="Palatino Linotype" w:hAnsi="Palatino Linotype" w:cs="Palatino Linotype"/>
                <w:b/>
                <w:sz w:val="16"/>
                <w:szCs w:val="16"/>
                <w:lang w:eastAsia="ru-RU"/>
              </w:rPr>
              <w:t>InDel</w:t>
            </w:r>
          </w:p>
        </w:tc>
        <w:tc>
          <w:tcPr>
            <w:tcW w:w="6054"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proofErr w:type="spellStart"/>
            <w:r w:rsidRPr="00754B51">
              <w:rPr>
                <w:rFonts w:ascii="Palatino Linotype" w:eastAsia="Palatino Linotype" w:hAnsi="Palatino Linotype" w:cs="Palatino Linotype"/>
                <w:b/>
                <w:sz w:val="16"/>
                <w:szCs w:val="16"/>
                <w:lang w:eastAsia="ru-RU"/>
              </w:rPr>
              <w:t>Function</w:t>
            </w:r>
            <w:proofErr w:type="spellEnd"/>
            <w:r w:rsidRPr="00754B51">
              <w:rPr>
                <w:rFonts w:ascii="Palatino Linotype" w:eastAsia="Palatino Linotype" w:hAnsi="Palatino Linotype" w:cs="Palatino Linotype"/>
                <w:b/>
                <w:sz w:val="16"/>
                <w:szCs w:val="16"/>
                <w:lang w:eastAsia="ru-RU"/>
              </w:rPr>
              <w:t xml:space="preserve"> </w:t>
            </w:r>
            <w:r w:rsidRPr="00754B51">
              <w:rPr>
                <w:rFonts w:ascii="Palatino Linotype" w:eastAsia="Palatino Linotype" w:hAnsi="Palatino Linotype" w:cs="Palatino Linotype"/>
                <w:b/>
                <w:sz w:val="16"/>
                <w:szCs w:val="16"/>
                <w:lang w:val="en-US" w:eastAsia="ru-RU"/>
              </w:rPr>
              <w:t xml:space="preserve">of </w:t>
            </w:r>
            <w:r w:rsidRPr="00754B51">
              <w:rPr>
                <w:rFonts w:ascii="Palatino Linotype" w:eastAsia="Palatino Linotype" w:hAnsi="Palatino Linotype" w:cs="Palatino Linotype"/>
                <w:b/>
                <w:i/>
                <w:sz w:val="16"/>
                <w:szCs w:val="16"/>
                <w:lang w:val="en-US" w:eastAsia="ru-RU"/>
              </w:rPr>
              <w:t>Arabidopsis</w:t>
            </w:r>
            <w:r w:rsidRPr="00754B51">
              <w:rPr>
                <w:rFonts w:ascii="Palatino Linotype" w:eastAsia="Palatino Linotype" w:hAnsi="Palatino Linotype" w:cs="Palatino Linotype"/>
                <w:b/>
                <w:sz w:val="16"/>
                <w:szCs w:val="16"/>
                <w:lang w:val="en-US" w:eastAsia="ru-RU"/>
              </w:rPr>
              <w:t xml:space="preserve"> homolog</w:t>
            </w:r>
          </w:p>
        </w:tc>
        <w:tc>
          <w:tcPr>
            <w:tcW w:w="849"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Number of homologs in radish</w:t>
            </w:r>
          </w:p>
        </w:tc>
        <w:tc>
          <w:tcPr>
            <w:tcW w:w="715"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eastAsia="ru-RU"/>
              </w:rPr>
            </w:pPr>
            <w:proofErr w:type="spellStart"/>
            <w:r w:rsidRPr="00754B51">
              <w:rPr>
                <w:rFonts w:ascii="Palatino Linotype" w:eastAsia="Palatino Linotype" w:hAnsi="Palatino Linotype" w:cs="Palatino Linotype"/>
                <w:b/>
                <w:sz w:val="16"/>
                <w:szCs w:val="16"/>
                <w:lang w:eastAsia="ru-RU"/>
              </w:rPr>
              <w:t>Reference</w:t>
            </w:r>
            <w:proofErr w:type="spellEnd"/>
          </w:p>
        </w:tc>
      </w:tr>
      <w:tr w:rsidR="00754B51" w:rsidRPr="00754B51" w:rsidTr="00623CB8">
        <w:trPr>
          <w:jc w:val="center"/>
        </w:trPr>
        <w:tc>
          <w:tcPr>
            <w:tcW w:w="14323" w:type="dxa"/>
            <w:gridSpan w:val="8"/>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Cell cycle control, cell growth and division</w:t>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CFAT</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LOC108815961</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c.868_871delAGGA|p.Arg290fs</w:t>
            </w:r>
          </w:p>
        </w:tc>
        <w:tc>
          <w:tcPr>
            <w:tcW w:w="60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Lignin</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biosynthesis</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{"citationID":"nz5KQyT6","properties":{"formattedCitation":"[46]","plainCitation":"[46]","noteIndex":0},"citationItems":[{"id":1473,"uris":["http://zotero.org/users/9833672/items/RD6RN3WM"],"itemData":{"id":1473,"type":"article-journal","abstract":"Petunia flower petals emit large amounts of isoeugenol, which has been shown to be synthesized by isoeugenol synthase (PhIGS1) from an ester of coniferyl alcohol, hypothesized to be coniferyl acetate. This paper describes the identification and characterization of a novel petunia gene encoding an enzyme belonging to the BAHD acyltransferase family whose expression correlates with isoeugenol biosynthesis. RNAi suppression of this gene results in inhibition of isoeugenol biosynthesis. Biochemical characterization of the protein encoded by this gene showed that it has acetyltransferase activity and is most efficient with coniferyl alcohol among the alcohol substrates tested. Overall, these data support the conclusion that coniferyl acetate is the substrate of isoeugenol synthase.","container-title":"The Plant Journal: For Cell and Molecular Biology","DOI":"10.1111/j.1365-313X.2006.02954.x","ISSN":"0960-7412","issue":"2","journalAbbreviation":"Plant J","language":"eng","note":"number: 2\nPMID: 17241449","page":"265-275","source":"PubMed","title":"Characterization of a petunia acetyltransferase involved in the biosynthesis of the floral volatile isoeugenol","volume":"49","author":[{"family":"Dexter","given":"Richard"},{"family":"Qualley","given":"Anthony"},{"family":"Kish","given":"Christine M."},{"family":"Ma","given":"Choong Je"},{"family":"Koeduka","given":"Takao"},{"family":"Nagegowda","given":"Dinesh A."},{"family":"Dudareva","given":"Natalia"},{"family":"Pichersky","given":"Eran"},{"family":"Clark","given":"David"}],"issued":{"date-parts":[["2007",1]]}}}],"schema":"https://github.com/citation-style-language/schema/raw/master/csl-citation.json"}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[46]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CYCD3;1L</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LOC130508373</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c.967delC|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p.Arg323fs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Cell cycle control during the G1/S transition: activation in response to CK; proliferation of leaf epidermal cells and stomata density; regulation of secondary root growth.</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{"citationID":"SDYAa4m9","properties":{"formattedCitation":"[47]","plainCitation":"[47]","noteIndex":0},"citationItems":[{"id":1472,"uris":["http://zotero.org/users/9833672/items/KVPYA9HJ"],"itemData":{"id":1472,"type":"article-journal","abstract":"Higher plant vasculature is characterized by two distinct developmental phases. Initially, a well-defined radial primary pattern is established. In eudicots, this is followed by secondary growth, which involves development of the cambium and is required for efficient water and nutrient transport and wood formation. Regulation of secondary growth involves several phytohormones, and cytokinins have been implicated as key players, particularly in the activation of cell proliferation, but the molecular mechanisms mediating this hormonal control remain unknown. Here we show that the genes encoding the transcription factor AINTEGUMENTA (ANT) and the D-type cyclin CYCD3;1 are expressed in the vascular cambium of Arabidopsis roots, respond to cytokinins and are both required for proper root secondary thickening. Cytokinin regulation of ANT and CYCD3 also occurs during secondary thickening of poplar stems, suggesting this represents a conserved regulatory mechanism.","container-title":"Biology Open","DOI":"10.1242/bio.013128","ISSN":"2046-6390","issue":"10","journalAbbreviation":"Biol Open","note":"number: 10\nPMID: 26340943\nPMCID: PMC4610221","page":"1229-1236","source":"PubMed Central","title":"AINTEGUMENTA and the D-type cyclin CYCD3;1 regulate root secondary growth and respond to cytokinins","volume":"4","author":[{"family":"Randall","given":"Ricardo S."},{"family":"Miyashima","given":"Shunsuke"},{"family":"Blomster","given":"Tiina"},{"family":"Zhang","given":"Jing"},{"family":"Elo","given":"Annakaisa"},{"family":"Karlberg","given":"Anna"},{"family":"Immanen","given":"Juha"},{"family":"Nieminen","given":"Kaisa"},{"family":"Lee","given":"Ji-Young"},{"family":"Kakimoto","given":"Tatsuo"},{"family":"Blajecka","given":"Karolina"},{"family":"Melnyk","given":"Charles W."},{"family":"Alcasabas","given":"Annette"},{"family":"Forzani","given":"Celine"},{"family":"Matsumoto-Kitano","given":"Miho"},{"family":"Mähönen","given":"Ari Pekka"},{"family":"Bhalerao","given":"Rishikesh"},{"family":"Dewitte","given":"Walter"},{"family":"Helariutta","given":"Ykä"},{"family":"Murray","given":"James A. H."}],"issued":{"date-parts":[["2015",9,4]]}}}],"schema":"https://github.com/citation-style-language/schema/raw/master/csl-citation.json"}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[47]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SGO2</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LOC108814355</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c.391_392insCT|p.Phe131</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Cohesion and segregation of sister chromatids in meiosis.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{"citationID":"DI72f32k","properties":{"formattedCitation":"[48]","plainCitation":"[48]","noteIndex":0},"citationItems":[{"id":1471,"uris":["http://zotero.org/users/9833672/items/9VBSWXN8"],"itemData":{"id":1471,"type":"article-journal","abstract":"BACKGROUND: At meiosis, two successive rounds of chromosome segregation lead to ploidy halving. This is achieved through a stepwise release of sister chromatid cohesion, along chromosome arms to allow homolog segregation at anaphase I and at centromeres to allow sister chromatid segregation at anaphase II. Cohesins, the protein complex that ensures cohesion, must then be protected at centromeres throughout meiosis, until the onset of anaphase II. Members of the Shugoshin protein family have been shown to protect centromeric cohesins at anaphase I, but much less is known about the protection of cohesion during interkinesis, the stage between meiosis I and meiosis II.\nRESULTS: Here, we (1) show that both Arabidopsis SHUGOSHINs paralogs are required for complete protection of centromeric cohesins during meiosis I, without apparent somatic function, and (2) identified PATRONUS (PANS1), a novel protein required for protection of meiotic centromeric cohesion. Although AtSGO1 and AtSGO2 protect centromeric cohesion during anaphase I, PANS1 is required at a later stage, during interkinesis. Additionally, we identified PANS2, a paralog of PANS1, whose mutation is synthetically lethal with pans1 suggesting that PANS genes are also essential for mitosis. PANS1 interacts directly with the CDC27b and the CDC20.1 subunit of the Anaphase Promoting Complex (APC/C), in a manner suggesting that PANS1 could be both a regulator and a target of the APC/C.\nCONCLUSIONS: This study reveals that centromeric cohesion is actively protected at two successive stages of meiosis, by SHUGOSHINs at anaphase I and by PATRONUS at interkinesis.","container-title":"Current biology: CB","DOI":"10.1016/j.cub.2013.08.036","ISSN":"1879-0445","issue":"21","journalAbbreviation":"Curr Biol","language":"eng","note":"number: 21\nPMID: 24206843","page":"2090-2099","source":"PubMed","title":"Centromeric cohesion is protected twice at meiosis, by SHUGOSHINs at anaphase I and by PATRONUS at interkinesis","volume":"23","author":[{"family":"Cromer","given":"Laurence"},{"family":"Jolivet","given":"Sylvie"},{"family":"Horlow","given":"Christine"},{"family":"Chelysheva","given":"Liudmila"},{"family":"Heyman","given":"Jefri"},{"family":"De Jaeger","given":"Geert"},{"family":"Koncz","given":"Csaba"},{"family":"De Veylder","given":"Lieven"},{"family":"Mercier","given":"Raphael"}],"issued":{"date-parts":[["2013",11,4]]}}}],"schema":"https://github.com/citation-style-language/schema/raw/master/csl-citation.json"}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[48]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CYCD4;1-L</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LOC108828557</w:t>
            </w:r>
          </w:p>
        </w:tc>
        <w:tc>
          <w:tcPr>
            <w:tcW w:w="286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c.591_592delCA|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p.Lys199fs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Activation of the G1/S transition in response to CK; mitotic cell division; cell cycle activation in RAM; germinal root promotion.</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{"citationID":"f4Y0gHtR","properties":{"formattedCitation":"[49]","plainCitation":"[49]","noteIndex":0},"citationItems":[{"id":1470,"uris":["http://zotero.org/users/9833672/items/P96L2GYG"],"itemData":{"id":1470,"type":"article-journal","abstract":"B-type cyclin-dependent kinases (CDKs) are unique to plants and are assumed\n to be involved in the control of the G2-to-M phase progression and mitotic\n events. However, little is known about their cyclin partners. In Arabidopsis,\n we isolated cDNA encoding the D-type cyclin CYCD4;1 by a yeast\n (Saccharomyces cerevisiae) two-hybrid screening using CDKB2;1 as\n bait. In vitro pull-down assay showed that CYCD4;1 bound to CDKB2;1 and\n CDKA;1. Protein complexes of CYCD4;1-CDKA;1 and CYCD4;1-CDKB2;1 in insect\n cells exhibited histone H1-kinase activity. Promoter analysis using the\n luciferase reporter gene showed that CDKB2;1 was expressed from early\n G2 to M phase, whereas CYCD4;1 was expressed throughout the cell\n cycle. In situ hybridization of plant tissues revealed that both\n CDKB2;1 and CYCD4;1 transcripts accumulated in the shoot\n apical meristem, leaf primordia, vasculature of leaves, and tapetal cells in\n anthers. Our results suggest that CDKB2;1 and CYCD4;1 may form an active\n kinase complex during G2/M phase and control the development of particular\n tissues.","container-title":"Plant Physiology","DOI":"10.1104/pp.103.020644","ISSN":"0032-0889","issue":"3","journalAbbreviation":"Plant Physiol","note":"number: 3\nPMID: 12857813\nPMCID: PMC167071","page":"1315-1321","source":"PubMed Central","title":"Arabidopsis D-Type Cyclin CYCD4;1 Is a Novel Cyclin Partner of B2-Type  Cyclin-Dependent  Kinase","volume":"132","author":[{"family":"Kono","given":"Atsushi"},{"family":"Umeda-Hara","given":"Chikage"},{"family":"Lee","given":"Jeongkyung"},{"family":"Ito","given":"Masaki"},{"family":"Uchimiya","given":"Hirofumi"},{"family":"Umeda","given":"Masaaki"}],"issued":{"date-parts":[["2003",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[49]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KIN-7N</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LOC108807218</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c.234_237delGATT|p.Ile79fs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ATP binding; motor function of microtubules.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{"citationID":"w1mCeinh","properties":{"formattedCitation":"[50]","plainCitation":"[50]","noteIndex":0},"citationItems":[{"id":1469,"uris":["http://zotero.org/users/9833672/items/3G5249Y6"],"itemData":{"id":1469,"type":"article-journal","abstract":"During the early stages of Arabidopsis seed development, the endosperm is syncytial and proliferates rapidly through multiple rounds of mitosis in the absence of cytokinesis and cell wall formation. This stage of endosperm development is important in determining seed viability and size. To identify genes involved in syncytial endosperm development, we analyzed the endosperm transcriptome, obtained using laser capture microdissection of developing seeds at four days after pollination. Our results support the idea that similar sets of genes are required for conventional somatic mitosis with cytokinesis and syncytial proliferation. Furthermore, we identify cytoskeleton associated genes that may act to facilitate syncytial development thereby providing an important resource for further characterization of the processes involved in syncytial endosperm development.","container-title":"Plant Signaling &amp; Behavior","ISSN":"1559-2316","issue":"9","journalAbbreviation":"Plant Signal Behav","note":"number: 9\nPMID: 19847098\nPMCID: PMC2802807","page":"883-886","source":"PubMed Central","title":"Identification of cytoskeleton-associated genes expressed during Arabidopsis syncytial endosperm development","volume":"4","author":[{"family":"Day","given":"Robert C"},{"family":"Müller","given":"Sabine"},{"family":"Macknight","given":"Richard C"}],"issued":{"date-parts":[["2009",9]]}}}],"schema":"https://github.com/citation-style-language/schema/raw/master/csl-citation.json"}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PDS5</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LOC108845796</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c.1delA|p.Met1fs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DNA repair; cohesion of sister chromatids in mitosis.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{"citationID":"kvNI3LgL","properties":{"formattedCitation":"[51]","plainCitation":"[51]","noteIndex":0},"citationItems":[{"id":1468,"uris":["http://zotero.org/users/9833672/items/KQBLUCCP"],"itemData":{"id":1468,"type":"article-journal","abstract":"Maintenance and precise regulation of sister chromatid cohesion is essential for faithful chromosome segregation during mitosis and meiosis. Cohesin cofactors contribute to cohesin dynamics and interact with cohesin complexes during cell cycle. One of these, PDS5, also known as SPO76, is essential during mitosis and meiosis in several organisms and also plays a role in DNA repair. In yeast, the complex Wapl-Pds5 controls cohesion maintenance and colocalizes with cohesin complexes into chromosomes. In Arabidopsis, AtWAPL proteins are essential during meiosis, however, the role of AtPDS5 remains to be ascertained. Here we have isolated mutants for each of the five AtPDS5 genes (A-E) and obtained, after different crosses between them, double, triple, and even quadruple mutants (Atpds5a Atpds5b Atpds5c Atpds5e). Depletion of AtPDS5 proteins has a weak impact on meiosis, but leads to severe effects on development, fertility, somatic homologous recombination (HR) and DNA repair. Furthermore, this cohesin cofactor could be important for the function of the AtSMC5/AtSMC6 complex. Contrarily to its function in other species, our results suggest that AtPDS5 is dispensable during the meiotic division of Arabidopsis, although it plays an important role in DNA repair by HR.","container-title":"Frontiers in Plant Science","DOI":"10.3389/fpls.2015.01034","ISSN":"1664-462X","journalAbbreviation":"Front Plant Sci","language":"eng","note":"PMID: 26648949\nPMCID: PMC4664637","page":"1034","source":"PubMed","title":"Involvement of the Cohesin Cofactor PDS5 (SPO76) During Meiosis and DNA Repair in Arabidopsis thaliana","volume":"6","author":[{"family":"Pradillo","given":"Mónica"},{"family":"Knoll","given":"Alexander"},{"family":"Oliver","given":"Cecilia"},{"family":"Varas","given":"Javier"},{"family":"Corredor","given":"Eduardo"},{"family":"Puchta","given":"Holger"},{"family":"Santos","given":"Juan L."}],"issued":{"date-parts":[["2015"]]}}}],"schema":"https://github.com/citation-style-language/schema/raw/master/csl-citation.json"}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EXPA7L</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LOC108810873</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c.375_376insTAAT|p.Gly126fs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Weakening of cell walls due to disruption of the bond between cellulose </w:t>
            </w:r>
            <w:proofErr w:type="spellStart"/>
            <w:r w:rsidRPr="00754B51">
              <w:rPr>
                <w:rFonts w:ascii="Palatino Linotype" w:eastAsia="Palatino Linotype" w:hAnsi="Palatino Linotype" w:cs="Palatino Linotype"/>
                <w:sz w:val="16"/>
                <w:szCs w:val="16"/>
                <w:lang w:val="en-US" w:eastAsia="ru-RU"/>
              </w:rPr>
              <w:t>microfibrils</w:t>
            </w:r>
            <w:proofErr w:type="spellEnd"/>
            <w:r w:rsidRPr="00754B51">
              <w:rPr>
                <w:rFonts w:ascii="Palatino Linotype" w:eastAsia="Palatino Linotype" w:hAnsi="Palatino Linotype" w:cs="Palatino Linotype"/>
                <w:sz w:val="16"/>
                <w:szCs w:val="16"/>
                <w:lang w:val="en-US" w:eastAsia="ru-RU"/>
              </w:rPr>
              <w:t xml:space="preserve"> and matrix </w:t>
            </w:r>
            <w:proofErr w:type="spellStart"/>
            <w:r w:rsidRPr="00754B51">
              <w:rPr>
                <w:rFonts w:ascii="Palatino Linotype" w:eastAsia="Palatino Linotype" w:hAnsi="Palatino Linotype" w:cs="Palatino Linotype"/>
                <w:sz w:val="16"/>
                <w:szCs w:val="16"/>
                <w:lang w:val="en-US" w:eastAsia="ru-RU"/>
              </w:rPr>
              <w:t>glucans</w:t>
            </w:r>
            <w:proofErr w:type="spellEnd"/>
            <w:r w:rsidRPr="00754B51">
              <w:rPr>
                <w:rFonts w:ascii="Palatino Linotype" w:eastAsia="Palatino Linotype" w:hAnsi="Palatino Linotype" w:cs="Palatino Linotype"/>
                <w:sz w:val="16"/>
                <w:szCs w:val="16"/>
                <w:lang w:val="en-US" w:eastAsia="ru-RU"/>
              </w:rPr>
              <w:t>; elongation of root hairs.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{"citationID":"TfMrZahd","properties":{"formattedCitation":"[52]","plainCitation":"[52]","noteIndex":0},"citationItems":[{"id":1861,"uris":["http://zotero.org/users/9833672/items/YTK4GJCV"],"itemData":{"id":1861,"type":"article-journal","abstract":"Expansins are non-hydrolytic cell wall-loosening proteins that are involved in the cell wall modifications that underlie many plant developmental processes. Root hair growth requires the accumulation of cell wall materials and dynamic cell wall modification at the tip region. Although several lines of indirect evidence support the idea that expansin-mediated wall modification occurs during root hair growth, the involvement of these proteins remains to be demonstrated in vivo. In this study, we used RNA interference (RNAi) to examine the biological function of Arabidopsis thaliana EXPANSIN A7 (AtEXPA7), which is expressed specifically in the root hair cell. The root hairspecific AtEXPA7 promoter was used to drive RNAi expression, which targeted two independent regions in the AtEXPA7 transcript. Quantitative reverse transcriptase- PCR analyses were used to examine AtEXPA7 transcript levels. In four independent RNAi transformant lines, RNAi expression reduced AtEXPA7 transcript levels by 25-58% compared to controls. Accordingly, the root hairs of RNAi transformant lines were 25-48% shorter than control plants and exhibited a broader range of lengths than the controls. Our results provide in vivo evidence that expansins are required for root hair tip growth.","container-title":"Molecules and Cells","DOI":"10.1007/s10059-011-0046-2","ISSN":"1016-8478","issue":"4","journalAbbreviation":"Mol Cells","note":"PMID: 21359675\nPMCID: PMC3933966","page":"393-397","source":"PubMed Central","title":"Root Hair-Specific EXPANSIN A7 Is Required for Root Hair Elongation in Arabidopsis","volume":"31","author":[{"family":"Lin","given":"Changfa"},{"family":"Choi","given":"Hee-Seung"},{"family":"Cho","given":"Hyung-Taeg"}],"issued":{"date-parts":[["2011",4,30]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8</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EXPA4</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LOC108813883</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c.1delA|p.Met1fs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Weakening of cell walls due to disruption of the bond between cellulose </w:t>
            </w:r>
            <w:proofErr w:type="spellStart"/>
            <w:r w:rsidRPr="00754B51">
              <w:rPr>
                <w:rFonts w:ascii="Palatino Linotype" w:eastAsia="Palatino Linotype" w:hAnsi="Palatino Linotype" w:cs="Palatino Linotype"/>
                <w:sz w:val="16"/>
                <w:szCs w:val="16"/>
                <w:lang w:val="en-US" w:eastAsia="ru-RU"/>
              </w:rPr>
              <w:t>microfibrils</w:t>
            </w:r>
            <w:proofErr w:type="spellEnd"/>
            <w:r w:rsidRPr="00754B51">
              <w:rPr>
                <w:rFonts w:ascii="Palatino Linotype" w:eastAsia="Palatino Linotype" w:hAnsi="Palatino Linotype" w:cs="Palatino Linotype"/>
                <w:sz w:val="16"/>
                <w:szCs w:val="16"/>
                <w:lang w:val="en-US" w:eastAsia="ru-RU"/>
              </w:rPr>
              <w:t xml:space="preserve"> and matrix </w:t>
            </w:r>
            <w:proofErr w:type="spellStart"/>
            <w:r w:rsidRPr="00754B51">
              <w:rPr>
                <w:rFonts w:ascii="Palatino Linotype" w:eastAsia="Palatino Linotype" w:hAnsi="Palatino Linotype" w:cs="Palatino Linotype"/>
                <w:sz w:val="16"/>
                <w:szCs w:val="16"/>
                <w:lang w:val="en-US" w:eastAsia="ru-RU"/>
              </w:rPr>
              <w:t>glucans</w:t>
            </w:r>
            <w:proofErr w:type="spellEnd"/>
            <w:r w:rsidRPr="00754B51">
              <w:rPr>
                <w:rFonts w:ascii="Palatino Linotype" w:eastAsia="Palatino Linotype" w:hAnsi="Palatino Linotype" w:cs="Palatino Linotype"/>
                <w:sz w:val="16"/>
                <w:szCs w:val="16"/>
                <w:lang w:val="en-US" w:eastAsia="ru-RU"/>
              </w:rPr>
              <w:t>; formation of syncytium.</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{"citationID":"TqXz6HzX","properties":{"formattedCitation":"[53]","plainCitation":"[53]","noteIndex":0},"citationItems":[{"id":1958,"uris":["http://zotero.org/users/9833672/items/E8HTWIWI"],"itemData":{"id":1958,"type":"article-journal","abstract":"The growth of plant cells is inseparable from relaxation and expansion of cell walls. Expansins are a class of cell wall binding proteins, which play important roles in the relaxation of cell walls. Although there are many members in expansin gene family, the functions of most expansin genes in plant growth and development are still poorly understood. In this study, the functions of two expansin genes, AtEXPA4 and AtEXPB5 were characterized in Arabidopsis thaliana. AtEXPA4 and AtEXPB5 displayed consistent expression patterns in mature pollen grains and pollen tubes, but AtEXPA4 also showed a high expression level in primary roots. Two single mutants, atexpa4 and atexpb5, showed normal reproductive development, whereas atexpa4atexpb5 double mutant was defective in pollen tube growth. Moreover, AtEXPA4 overexpression enhanced primary root elongation, on the contrary, knocking out AtEXPA4 made the growth of primary root slower. Our results indicated that AtEXPA4 and AtEXPB5 were redundantly involved in pollen tube growth and AtEXPA4 was required for primary root elongation.","container-title":"Genes","DOI":"10.3390/genes12020249","ISSN":"2073-4425","issue":"2","journalAbbreviation":"Genes (Basel)","language":"eng","note":"number: 2\nPMID: 33578704\nPMCID: PMC7916401","page":"249","source":"PubMed","title":"Two Expansin Genes, AtEXPA4 and AtEXPB5, Are Redundantly Required for Pollen Tube Growth and AtEXPA4 Is Involved in Primary Root Elongation in Arabidopsis thaliana","volume":"12","author":[{"family":"Liu","given":"Weimiao"},{"family":"Xu","given":"Liai"},{"family":"Lin","given":"Hui"},{"family":"Cao","given":"Jiashu"}],"issued":{"date-parts":[["2021",2,10]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LTP1</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LOC108853879</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c.1dupA|p.Met1fs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Lipid transport across membranes; deposition of wax and </w:t>
            </w:r>
            <w:proofErr w:type="spellStart"/>
            <w:r w:rsidRPr="00754B51">
              <w:rPr>
                <w:rFonts w:ascii="Palatino Linotype" w:eastAsia="Palatino Linotype" w:hAnsi="Palatino Linotype" w:cs="Palatino Linotype"/>
                <w:sz w:val="16"/>
                <w:szCs w:val="16"/>
                <w:lang w:val="en-US" w:eastAsia="ru-RU"/>
              </w:rPr>
              <w:t>cutin</w:t>
            </w:r>
            <w:proofErr w:type="spellEnd"/>
            <w:r w:rsidRPr="00754B51">
              <w:rPr>
                <w:rFonts w:ascii="Palatino Linotype" w:eastAsia="Palatino Linotype" w:hAnsi="Palatino Linotype" w:cs="Palatino Linotype"/>
                <w:sz w:val="16"/>
                <w:szCs w:val="16"/>
                <w:lang w:val="en-US" w:eastAsia="ru-RU"/>
              </w:rPr>
              <w:t xml:space="preserve"> in cell walls and secretory tissues; binding of </w:t>
            </w:r>
            <w:proofErr w:type="spellStart"/>
            <w:r w:rsidRPr="00754B51">
              <w:rPr>
                <w:rFonts w:ascii="Palatino Linotype" w:eastAsia="Palatino Linotype" w:hAnsi="Palatino Linotype" w:cs="Palatino Linotype"/>
                <w:sz w:val="16"/>
                <w:szCs w:val="16"/>
                <w:lang w:val="en-US" w:eastAsia="ru-RU"/>
              </w:rPr>
              <w:t>calmodulin</w:t>
            </w:r>
            <w:proofErr w:type="spellEnd"/>
            <w:r w:rsidRPr="00754B51">
              <w:rPr>
                <w:rFonts w:ascii="Palatino Linotype" w:eastAsia="Palatino Linotype" w:hAnsi="Palatino Linotype" w:cs="Palatino Linotype"/>
                <w:sz w:val="16"/>
                <w:szCs w:val="16"/>
                <w:lang w:val="en-US" w:eastAsia="ru-RU"/>
              </w:rPr>
              <w:t>.</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{"citationID":"mS4YL2BD","properties":{"formattedCitation":"[54]","plainCitation":"[54]","noteIndex":0},"citationItems":[{"id":1957,"uris":["http://zotero.org/users/9833672/items/K8KUXZRD"],"itemData":{"id":1957,"type":"article-journal","abstract":"Ethylene as a gaseous plant hormone is directly involved in various processes during plant growth and development. Much is known regarding the ethylene receptors and regulatory factors in the ethylene signal transduction pathway. In Arabidopsis thaliana, REVERSION-TO-ETHYLENE SENSITIVITY1 (RTE1) can interact with and positively regulates the ethylene receptor ETHYLENE RESPONSE1 (ETR1). In this study we report the identification and characterization of an RTE1-interacting protein, a putative Arabidopsis lipid transfer protein 1 (LTP1) of unknown function. Through bimolecular fluorescence complementation, a direct molecular interaction between LTP1 and RTE1 was verified in planta. Analysis of an LTP1-GFP fusion in transgenic plants and plasmolysis experiments revealed that LTP1 is localized to the cytoplasm. Analysis of ethylene responses showed that the ltp1 knockout is hypersensitive to 1-aminocyclopropanecarboxylic acid (ACC), while LTP1 overexpression confers insensitivity. Analysis of double mutants etr1-2 ltp1 and rte1-3 ltp1 demonstrates a regulatory function of LTP1 in ethylene receptor signaling through the molecular association with RTE1. This study uncovers a novel function of Arabidopsis LTP1 in the regulation of ethylene response and signaling.","container-title":"Plant Molecular Biology","DOI":"10.1007/s11103-016-0482-7","ISSN":"1573-5028","issue":"4-5","journalAbbreviation":"Plant Mol Biol","language":"eng","note":"number: 4-5\nPMID: 27097903","page":"471-484","source":"PubMed","title":"Regulatory function of Arabidopsis lipid transfer protein 1 (LTP1) in ethylene response and signaling","volume":"91","author":[{"family":"Wang","given":"Honglin"},{"family":"Sun","given":"Yue"},{"family":"Chang","given":"Jianhong"},{"family":"Zheng","given":"Fangfang"},{"family":"Pei","given":"Haixia"},{"family":"Yi","given":"Yanjun"},{"family":"Chang","given":"Caren"},{"family":"Dong","given":"Chun-Hai"}],"issued":{"date-parts":[["2016",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LOC108817684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LOC108817684</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c.148dupT|p.Cys50fs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Biosynthesis</w:t>
            </w:r>
            <w:proofErr w:type="spellEnd"/>
            <w:r w:rsidRPr="00754B51">
              <w:rPr>
                <w:rFonts w:ascii="Palatino Linotype" w:eastAsia="Palatino Linotype" w:hAnsi="Palatino Linotype" w:cs="Palatino Linotype"/>
                <w:sz w:val="16"/>
                <w:szCs w:val="16"/>
                <w:lang w:eastAsia="ru-RU"/>
              </w:rPr>
              <w:t xml:space="preserve"> of </w:t>
            </w:r>
            <w:proofErr w:type="spellStart"/>
            <w:r w:rsidRPr="00754B51">
              <w:rPr>
                <w:rFonts w:ascii="Palatino Linotype" w:eastAsia="Palatino Linotype" w:hAnsi="Palatino Linotype" w:cs="Palatino Linotype"/>
                <w:sz w:val="16"/>
                <w:szCs w:val="16"/>
                <w:lang w:eastAsia="ru-RU"/>
              </w:rPr>
              <w:t>xyloglucans</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{"citationID":"ARpyxiSe","properties":{"formattedCitation":"[55]","plainCitation":"[55]","noteIndex":0},"citationItems":[{"id":1956,"uris":["http://zotero.org/users/9833672/items/IFWP24FB"],"itemData":{"id":1956,"type":"article-journal","abstract":"In many flowering plants, xyloglucan is a major component of primary cell walls, where it plays an important role in growth regulation. Xyloglucan can be degraded by a suite of exoglycosidases that remove specific sugars. In this work, we show that the xyloglucan backbone, formed by (1</w:instrText>
            </w:r>
            <w:r w:rsidRPr="00754B51">
              <w:rPr>
                <w:rFonts w:ascii="Times New Roman" w:eastAsia="Palatino Linotype" w:hAnsi="Times New Roman" w:cs="Times New Roman"/>
                <w:sz w:val="16"/>
                <w:szCs w:val="16"/>
                <w:lang w:eastAsia="ru-RU"/>
              </w:rPr>
              <w:instrText>→</w:instrText>
            </w:r>
            <w:r w:rsidRPr="00754B51">
              <w:rPr>
                <w:rFonts w:ascii="Palatino Linotype" w:eastAsia="Palatino Linotype" w:hAnsi="Palatino Linotype" w:cs="Palatino Linotype"/>
                <w:sz w:val="16"/>
                <w:szCs w:val="16"/>
                <w:lang w:eastAsia="ru-RU"/>
              </w:rPr>
              <w:instrText xml:space="preserve">4)-linked β-d-glucopyranosyl residues, can be attacked by two different Arabidopsis (Arabidopsis thaliana) β-glucosidases from glycoside hydrolase family 3. While BGLC1 (At5g20950; for β-glucosidase active against xyloglucan 1) is responsible for all or most of the soluble activity, BGLC3 (At5g04885) is usually a membrane-anchored protein. Mutations in these two genes, whether on their own or combined with mutations in other exoglycosidase genes, resulted in the accumulation of partially digested xyloglucan subunits, such as GXXG, GXLG, or GXFG. While a mutation in BGLC1 had significant effects on its own, lack of BGLC3 had only minor effects. On the other hand, double bglc1 bglc3 mutants revealed a synergistic interaction that supports a role for membrane-bound BGLC3 in xyloglucan metabolism. In addition, bglc1 bglc3 was complemented by overexpression of either BGLC1 or BGLC3 In overexpression lines, BGLC3 activity was concentrated in a microsome-enriched fraction but also was present in soluble form. Finally, both genes were generally expressed in the same cell types, although, in some cases, BGLC3 was expressed at earlier stages than BGLC1 We propose that functional specialization could explain the separate localization of both enzymes, as a membrane-bound β-glucosidase could specifically digest soluble xyloglucan without affecting the wall-bound polymer.","container-title":"Plant Physiology","DOI":"10.1104/pp.16.01713","ISSN":"1532-2548","issue":"2","journalAbbreviation":"Plant Physiol","language":"eng","note":"number: 2\nPMID: 27956490\nPMCID: PMC5291047","page":"1017-1030","source":"PubMed","title":"Soluble and Membrane-Bound β-Glucosidases Are Involved in Trimming the Xyloglucan Backbone","volume":"173","author":[{"family":"Sampedro","given":"Javier"},{"family":"Valdivia","given":"Elene R."},{"family":"Fraga","given":"Patricia"},{"family":"Iglesias","given":"Natalia"},{"family":"Revilla","given":"Gloria"},{"family":"Zarra","given":"Ignacio"}],"issued":{"date-parts":[["2017",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PME60</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LOC108826705</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c.2861_2862insCCTC|p.Thr955fs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Modification of cell walls by </w:t>
            </w:r>
            <w:proofErr w:type="spellStart"/>
            <w:r w:rsidRPr="00754B51">
              <w:rPr>
                <w:rFonts w:ascii="Palatino Linotype" w:eastAsia="Palatino Linotype" w:hAnsi="Palatino Linotype" w:cs="Palatino Linotype"/>
                <w:sz w:val="16"/>
                <w:szCs w:val="16"/>
                <w:lang w:val="en-US" w:eastAsia="ru-RU"/>
              </w:rPr>
              <w:t>demethylesterification</w:t>
            </w:r>
            <w:proofErr w:type="spellEnd"/>
            <w:r w:rsidRPr="00754B51">
              <w:rPr>
                <w:rFonts w:ascii="Palatino Linotype" w:eastAsia="Palatino Linotype" w:hAnsi="Palatino Linotype" w:cs="Palatino Linotype"/>
                <w:sz w:val="16"/>
                <w:szCs w:val="16"/>
                <w:lang w:val="en-US" w:eastAsia="ru-RU"/>
              </w:rPr>
              <w:t xml:space="preserve"> of pectin.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{"citationID":"vCPl8eFH","properties":{"formattedCitation":"[56]","plainCitation":"[56]","noteIndex":0},"citationItems":[{"id":1955,"uris":["http://zotero.org/users/9833672/items/KD3DJVXQ"],"itemData":{"id":1955,"type":"article-journal","abstract":"Invertases (INVs) and pectin methylesterases (PMEs) are essential enzymes coordinating carbohydrate metabolism, stress responses, and sugar signaling. INVs catalyzes the cleavage of sucrose into glucose and fructose, exerting a pivotal role in sucrose metabolism, cellulose biosynthesis, nitrogen uptake, reactive oxygen species scavenging as well as osmotic stress adaptation. PMEs exert a dynamic control of pectin methylesterification to manage cell adhesion, cell wall porosity, and elasticity, as well as perception and signaling of stresses. INV and PME activities can be regulated by specific proteinaceous inhibitors, named INV inhibitors (INVIs) and PME Inhibitors (PMEIs). Despite targeting different enzymes, INVIs and PMEIs belong to the same large protein family named \"Plant Invertase/Pectin Methylesterase Inhibitor Superfamily.\" INVIs and PMEIs, while showing a low aa sequence identity, they share several structural properties. The two inhibitors showed mainly alpha-helices in their secondary structure and both form a non-covalent 1:1 complex with their enzymatic counterpart. Some PMEI members are organized in a gene cluster with specific PMEs. Although the most important physiological information was obtained in Arabidopsis thaliana, there are now several characterized INVI/PMEIs in different plant species. This review provides an integrated and updated overview of this fascinating superfamily, from the specific activity of characterized isoforms to their specific functions in plant physiology. We also highlight INVI/PMEIs as biotechnological tools to control different aspects of plant growth and defense. Some isoforms are discussed in view of their potential applications to improve industrial processes. A review of the nomenclature of some isoforms is carried out to eliminate confusion about the identity and the names of some INVI/PMEI member. Open questions, shortcoming, and opportunities for future research are also presented.","container-title":"Frontiers in Plant Science","DOI":"10.3389/fpls.2022.863892","ISSN":"1664-462X","journalAbbreviation":"Front Plant Sci","language":"eng","note":"PMID: 35401607\nPMCID: PMC8990755","page":"863892","source":"PubMed","title":"The Plant Invertase/Pectin Methylesterase Inhibitor Superfamily","volume":"13","author":[{"family":"Coculo","given":"Daniele"},{"family":"Lionetti","given":"Vincenzo"}],"issued":{"date-parts":[["2022"]]}}}],"schema":"https://github.com/citation-style-language/schema/raw/master/csl-citation.json"}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12</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KIN-4A</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LOC108827664</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c.61dupA|p.Ile21fs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Deposition of cellulose </w:t>
            </w:r>
            <w:proofErr w:type="spellStart"/>
            <w:r w:rsidRPr="00754B51">
              <w:rPr>
                <w:rFonts w:ascii="Palatino Linotype" w:eastAsia="Palatino Linotype" w:hAnsi="Palatino Linotype" w:cs="Palatino Linotype"/>
                <w:sz w:val="16"/>
                <w:szCs w:val="16"/>
                <w:lang w:val="en-US" w:eastAsia="ru-RU"/>
              </w:rPr>
              <w:t>microfibrils</w:t>
            </w:r>
            <w:proofErr w:type="spellEnd"/>
            <w:r w:rsidRPr="00754B51">
              <w:rPr>
                <w:rFonts w:ascii="Palatino Linotype" w:eastAsia="Palatino Linotype" w:hAnsi="Palatino Linotype" w:cs="Palatino Linotype"/>
                <w:sz w:val="16"/>
                <w:szCs w:val="16"/>
                <w:lang w:val="en-US" w:eastAsia="ru-RU"/>
              </w:rPr>
              <w:t>; cell wall mechanics during cell elongation.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{"citationID":"Tl7bodyP","properties":{"formattedCitation":"[57]","plainCitation":"[57]","noteIndex":0},"citationItems":[{"id":1954,"uris":["http://zotero.org/users/9833672/items/A9YJWNEX"],"itemData":{"id":1954,"type":"article-journal","abstract":"In plants, anisotropic cell expansion depends on cortical microtubules that serve as tracks along which macromolecules and vesicles are transported by the motor kinesins of unknown identities. We used cotton (Gossypium hirsutum) fibers that underwent robust elongation to discover kinesins that are involved in cell elongation and found Gh KINESIN-4A expressed abundantly. The motor was detected by immunofluorescence on vesicle-like structures that were associated with cortical microtubules. In Arabidopsis thaliana, the orthologous motor At KINESIN-4A/FRA1, previously implicated in cellulose deposition during secondary growth in fiber cells, was examined by live-cell imaging in cells expressing the fluorescently tagged functional protein. The motor decorated vesicle-like particles that exhibit a linear movement along cortical microtubules with an average velocity of 0.89 μm/min, which was significantly different from those linked to cellulose biosynthesis. We also discovered that At KINESIN-4A/FRA1 and the related At KINESIN-4C play redundant roles in cell wall mechanics, cell elongation, and the axial growth of various vegetative and reproductive organs, as the loss of At KINESIN-4C greatly enhanced the defects caused by a null mutation at the KINESIN-4A/FRA1 locus. The double mutant displayed a lack of cell wall softening at normal stages of rapid cell elongation. Furthermore, enhanced deposition of arabinose-containing carbohydrate was detected in the kinesin-4 mutants. Our findings established a connection between the Kinesin-4-based transport of cargoes containing non-cellulosic components along cortical microtubules and cell wall mechanics and cell elongation in flowering plants.","container-title":"Molecular Plant","DOI":"10.1016/j.molp.2015.01.004","ISSN":"1752-9867","issue":"7","journalAbbreviation":"Mol Plant","language":"eng","note":"number: 7\nPMID: 25600279","page":"1011-1023","source":"PubMed","title":"Kinesin-4 Functions in Vesicular Transport on Cortical Microtubules and Regulates Cell Wall Mechanics during Cell Elongation in Plants","volume":"8","author":[{"family":"Kong","given":"Zhaosheng"},{"family":"Ioki","given":"Motohide"},{"family":"Braybrook","given":"Siobhan"},{"family":"Li","given":"Shundai"},{"family":"Ye","given":"Zheng-Hua"},{"family":"Julie Lee","given":"Yuh-Ru"},{"family":"Hotta","given":"Takashi"},{"family":"Chang","given":"Anny"},{"family":"Tian","given":"Juan"},{"family":"Wang","given":"Guangda"},{"family":"Liu","given":"Bo"}],"issued":{"date-parts":[["2015",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13</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LOC108859024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LOC108859024</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c.2410delG|p.Glu804fs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 gene with unknown function - probably a cell cycle regulator</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{"citationID":"IayqX4Ml","properties":{"formattedCitation":"[58]","plainCitation":"[58]","noteIndex":0},"citationItems":[{"id":1953,"uris":["http://zotero.org/users/9833672/items/VTF4EQ73"],"itemData":{"id":1953,"type":"article-journal","abstract":"A major challenge is to unravel how genes interact and are regulated to exert specific biological functions. The integration of genome-wide functional genomics data, followed by the construction of gene networks, provides a powerful approach to identify functional gene modules. Large-scale expression data, functional gene annotations, experimental protein-protein interactions, and transcription factor-target interactions were integrated to delineate modules in Arabidopsis (Arabidopsis thaliana). The different experimental input data sets showed little overlap, demonstrating the advantage of combining multiple data types to study gene function and regulation. In the set of 1,563 modules covering 13,142 genes, most modules displayed strong coexpression, but functional and cis-regulatory coherence was less prevalent. Highly connected hub genes showed a significant enrichment toward embryo lethality and evidence for cross talk between different biological processes. Comparative analysis revealed that 58% of the modules showed conserved coexpression across multiple plants. Using module-based functional predictions, 5,562 genes were annotated, and an evaluation experiment disclosed that, based on 197 recently experimentally characterized genes, 38.1% of these functions could be inferred through the module context. Examples of confirmed genes of unknown function related to cell wall biogenesis, xylem and phloem pattern formation, cell cycle, hormone stimulus, and circadian rhythm highlight the potential to identify new gene functions. The module-based predictions offer new biological hypotheses for functionally unknown genes in Arabidopsis (1,701 genes) and six other plant species (43,621 genes). Furthermore, the inferred modules provide new insights into the conservation of coexpression and coregulation as well as a starting point for comparative functional annotation.","container-title":"Plant Physiology","DOI":"10.1104/pp.112.196725","ISSN":"1532-2548","issue":"3","journalAbbreviation":"Plant Physiol","language":"eng","note":"number: 3\nPMID: 22589469\nPMCID: PMC3387714","page":"884-901","source":"PubMed","title":"Systematic identification of functional plant modules through the integration of complementary data sources","volume":"159","author":[{"family":"Heyndrickx","given":"Ken S."},{"family":"Vandepoele","given":"Klaas"}],"issued":{"date-parts":[["2012",7]]}}}],"schema":"https://github.com/citation-style-language/schema/raw/master/csl-citation.json"}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14</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FZR3</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LOC108844659</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c.353dupA|p.Gln119fs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Control of </w:t>
            </w:r>
            <w:proofErr w:type="spellStart"/>
            <w:r w:rsidRPr="00754B51">
              <w:rPr>
                <w:rFonts w:ascii="Palatino Linotype" w:eastAsia="Palatino Linotype" w:hAnsi="Palatino Linotype" w:cs="Palatino Linotype"/>
                <w:sz w:val="16"/>
                <w:szCs w:val="16"/>
                <w:lang w:val="en-US" w:eastAsia="ru-RU"/>
              </w:rPr>
              <w:t>ubiquitinligase</w:t>
            </w:r>
            <w:proofErr w:type="spellEnd"/>
            <w:r w:rsidRPr="00754B51">
              <w:rPr>
                <w:rFonts w:ascii="Palatino Linotype" w:eastAsia="Palatino Linotype" w:hAnsi="Palatino Linotype" w:cs="Palatino Linotype"/>
                <w:sz w:val="16"/>
                <w:szCs w:val="16"/>
                <w:lang w:val="en-US" w:eastAsia="ru-RU"/>
              </w:rPr>
              <w:t xml:space="preserve"> activity and substrate specificity of anaphase-stimulating complex.</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{"citationID":"qzoXYFpf","properties":{"formattedCitation":"[59]","plainCitation":"[59]","noteIndex":0},"citationItems":[{"id":1952,"uris":["http://zotero.org/users/9833672/items/6UIPQ3NH"],"itemData":{"id":1952,"type":"article-journal","abstract":"Upon nitrogen starvation, Schizosaccharomyces pombe exit the mitotic cell cycle and become irreversibly committed to the completion of meiosis program. Meiotic cell divisions are coordinated with sporulation events to produce haploid spores. In the last few decades, experiments on fission yeast have revealed different molecular players involved in two meiotic cell divisions, meiosis I (MI) and meiosis II (MII). How the MI entry, MI-to-MII transition, and MII exit occur because of the dynamics of the regulatory network is not well understood. In this work, we developed a comprehensive mathematical model of the network that describes the temporal dynamics of meiotic progression. The model accounts for the phenotypes of several experimental data (single and multiple mutations). We demonstrate the control strategy involving multiple feedback loops to yield two successive division cycles. The differential regulation of anaphase-promoting complex/cyclosome (APC/C) coactivators and its inhibitors is crucial for the dynamics of both MI-to-MII transition and MII exit. This model generates mechanistic insights that help in further experiments and modeling.","container-title":"Biophysical Journal","DOI":"10.1016/j.bpj.2020.07.017","ISSN":"0006-3495","issue":"5","journalAbbreviation":"Biophys J","note":"number: 5\nPMID: 32783879\nPMCID: PMC7474174","page":"1015-1024","source":"PubMed Central","title":"Modeling the Control of Meiotic Cell Divisions: Entry, Progression, and Exit","title-short":"Modeling the Control of Meiotic Cell Divisions","volume":"119","author":[{"family":"Dangarh","given":"Prakrati"},{"family":"Pandey","given":"Nishtha"},{"family":"Vinod","given":"Palakkad Krishnanunni"}],"issued":{"date-parts":[["2020",9,1]]}}}],"schema":"https://github.com/citation-style-language/schema/raw/master/csl-citation.json"}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[59]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15</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NET1A</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LOC108862024</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c.1664_1665delTT|p.Val555fs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Association with F-actin at plasma membrane and </w:t>
            </w:r>
            <w:proofErr w:type="spellStart"/>
            <w:r w:rsidRPr="00754B51">
              <w:rPr>
                <w:rFonts w:ascii="Palatino Linotype" w:eastAsia="Palatino Linotype" w:hAnsi="Palatino Linotype" w:cs="Palatino Linotype"/>
                <w:sz w:val="16"/>
                <w:szCs w:val="16"/>
                <w:lang w:val="en-US" w:eastAsia="ru-RU"/>
              </w:rPr>
              <w:t>plasmodesmata</w:t>
            </w:r>
            <w:proofErr w:type="spellEnd"/>
            <w:r w:rsidRPr="00754B51">
              <w:rPr>
                <w:rFonts w:ascii="Palatino Linotype" w:eastAsia="Palatino Linotype" w:hAnsi="Palatino Linotype" w:cs="Palatino Linotype"/>
                <w:sz w:val="16"/>
                <w:szCs w:val="16"/>
                <w:lang w:val="en-US" w:eastAsia="ru-RU"/>
              </w:rPr>
              <w:t>; response to pathogen-associated stress; inhibition of root growth.</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{"citationID":"ErqLVgRY","properties":{"formattedCitation":"[60]","plainCitation":"[60]","noteIndex":0},"citationItems":[{"id":1951,"uris":["http://zotero.org/users/9833672/items/RNQTI33S"],"itemData":{"id":1951,"type":"article-journal","abstract":"The Arabidopsis Networked (NET) superfamily are plant-specific actin binding proteins which specifically label different membrane compartments and identify specialized sites of interaction between actin and membranes unique to plants. There are 13 members of the superfamily in Arabidopsis, which group into four distinct clades or families. NET homologs are absent from the genomes of metazoa and fungi; furthermore, in plantae, NET sequences are also absent from the genome of mosses and more ancient extant plant clades. A single family of the NET proteins is found encoded in the club moss genome, an extant species of the earliest vascular plants. Gymnosperms have examples from families 4 and 3, with a hybrid form of NET1 and 2 which shows characteristics of both NET1 and NET2. In addition to NET3 and 4 families, the NET1 and pollen-expressed NET2 families are found only as independent sequences in Angiosperms. This is consistent with the divergence of reproductive actin. The four families are conserved across Monocots and Eudicots, with the numbers of members of each clade expanding at this point, due, in part, to regions of genome duplication. Since the emergence of the NET superfamily at the dawn of vascular plants, they have continued to develop and diversify in a manner which has mirrored the divergence and increasing complexity of land-plant species.","container-title":"Frontiers in Plant Science","DOI":"10.3389/fpls.2014.00254","ISSN":"1664-462X","journalAbbreviation":"Front Plant Sci","language":"eng","note":"PMID: 24926301\nPMCID: PMC4046492","page":"254","source":"PubMed","title":"The evolution of the actin binding NET superfamily","volume":"5","author":[{"family":"Hawkins","given":"Timothy J."},{"family":"Deeks","given":"Michael J."},{"family":"Wang","given":"Pengwei"},{"family":"Hussey","given":"Patrick J."}],"issued":{"date-parts":[["2014"]]}}}],"schema":"https://github.com/citation-style-language/schema/raw/master/csl-citation.json"}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16</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PCNA1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LOC108832540</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c.154_155insGC|p.Leu52fs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Control of DNA replication by increasing polymerase </w:t>
            </w:r>
            <w:proofErr w:type="spellStart"/>
            <w:r w:rsidRPr="00754B51">
              <w:rPr>
                <w:rFonts w:ascii="Palatino Linotype" w:eastAsia="Palatino Linotype" w:hAnsi="Palatino Linotype" w:cs="Palatino Linotype"/>
                <w:sz w:val="16"/>
                <w:szCs w:val="16"/>
                <w:lang w:val="en-US" w:eastAsia="ru-RU"/>
              </w:rPr>
              <w:t>processivity</w:t>
            </w:r>
            <w:proofErr w:type="spellEnd"/>
            <w:r w:rsidRPr="00754B51">
              <w:rPr>
                <w:rFonts w:ascii="Palatino Linotype" w:eastAsia="Palatino Linotype" w:hAnsi="Palatino Linotype" w:cs="Palatino Linotype"/>
                <w:sz w:val="16"/>
                <w:szCs w:val="16"/>
                <w:lang w:val="en-US" w:eastAsia="ru-RU"/>
              </w:rPr>
              <w:t xml:space="preserve"> by leading chain elongation.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{"citationID":"UmWfiTYv","properties":{"formattedCitation":"[61]","plainCitation":"[61]","noteIndex":0},"citationItems":[{"id":1950,"uris":["http://zotero.org/users/9833672/items/UDRAKNYV"],"itemData":{"id":1950,"type":"article-journal","abstract":"Background\nProliferating cell nuclear antigen (PCNA), a conserved trimeric ring complex, is loaded onto replication fork through a hetero-pentameric AAA+ ATPase complex termed replication factor C (RFC) to maintain genome stability. Although architectures of PCNA-RFC complex in yeast have been revealed, the functions of PCNA and protein-protein interactions of PCNA-RFC complex in higher plants are not very clear. Here, essential regions mediating interactions between PCNA and RFC subunits in Arabidopsis and rice were investigated via yeast-two-hybrid method and bimolecular fluorescence complementation techniques.\n\nResults\nWe observed that OsPCNA could interact with all OsRFC subunits, while protein-protein interactions only exist between Arabidopsis RFC2/3/4/5 and AtPCNA1/2. The truncated analyses indicated that the C-terminal of Arabidopsis RFC2/3/4/5 and rice RFC1/2 is essential for binding PCNA while the region of rice RFC3/4/5 mediating interaction with PCNA distributed both at the N- and C-terminal. On the other hand, we found that the C- and N-terminal of Arabidopsis and rice PCNA contribute equally to PCNA-PCNA interaction, and the interdomain connecting loop (IDCL) domain and C-terminal of PCNAs are indispensable for interacting RFC subunits.\n\nConclusions\nThese results indicated that Arabidopsis and rice PCNAs are highly conserved in sequence, structure and pattern of interacting with other PCNA monomer. Nevertheless, there are also significant differences between the Arabidopsis and rice RFC subunits in binding PCNA. Taken together, our results could be helpful for revealing the biological functions of plant RFC-PCNA complex.\n\nElectronic supplementary material\nThe online version of this article (10.1186/s12870-019-1874-z) contains supplementary material, which is available to authorized users.","container-title":"BMC Plant Biology","DOI":"10.1186/s12870-019-1874-z","ISSN":"1471-2229","journalAbbreviation":"BMC Plant Biol","note":"PMID: 31200645\nPMCID: PMC6570896","page":"257","source":"PubMed Central","title":"Interactional similarities and differences in the protein complex of PCNA and DNA replication factor C between rice and Arabidopsis","volume":"19","author":[{"family":"Qian","given":"Jie"},{"family":"Chen","given":"Yueyue"},{"family":"Xu","given":"Yaxing"},{"family":"Zhang","given":"Xiufeng"},{"family":"Kang","given":"Zhuang"},{"family":"Jiao","given":"Jinxia"},{"family":"Zhao","given":"Jie"}],"issued":{"date-parts":[["2019",6,14]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17</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WOX14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LOC108853278</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c.135_136insTC|p.Phe46fs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Functions in the organising </w:t>
            </w:r>
            <w:proofErr w:type="spellStart"/>
            <w:r w:rsidRPr="00754B51">
              <w:rPr>
                <w:rFonts w:ascii="Palatino Linotype" w:eastAsia="Palatino Linotype" w:hAnsi="Palatino Linotype" w:cs="Palatino Linotype"/>
                <w:sz w:val="16"/>
                <w:szCs w:val="16"/>
                <w:lang w:val="en-US" w:eastAsia="ru-RU"/>
              </w:rPr>
              <w:t>centre</w:t>
            </w:r>
            <w:proofErr w:type="spellEnd"/>
            <w:r w:rsidRPr="00754B51">
              <w:rPr>
                <w:rFonts w:ascii="Palatino Linotype" w:eastAsia="Palatino Linotype" w:hAnsi="Palatino Linotype" w:cs="Palatino Linotype"/>
                <w:sz w:val="16"/>
                <w:szCs w:val="16"/>
                <w:lang w:val="en-US" w:eastAsia="ru-RU"/>
              </w:rPr>
              <w:t xml:space="preserve"> of the shoot meristem, maintaining stem cells in an undifferentiated state. Together with WOX4 act downstream of PXY, independently regulating plant vascular proliferation.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color w:val="252525"/>
                <w:sz w:val="16"/>
                <w:szCs w:val="16"/>
                <w:lang w:eastAsia="ru-RU"/>
              </w:rPr>
            </w:pPr>
            <w:r w:rsidRPr="00754B51">
              <w:rPr>
                <w:rFonts w:ascii="Palatino Linotype" w:eastAsia="Palatino Linotype" w:hAnsi="Palatino Linotype" w:cs="Palatino Linotype"/>
                <w:color w:val="252525"/>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{"citationID":"itBvMpxV","properties":{"formattedCitation":"[37]","plainCitation":"[37]","noteIndex":0},"citationItems":[{"id":21,"uris":["http://zotero.org/users/9833672/items/CRLGX3F3"],"itemData":{"id":21,"type":"article-journal","abstract":"In plants, the cambium and procambium are meristems from which vascular tissue is derived. In contrast to most plant cells, stem cells within these tissues are thin and extremely long. They are particularly unusual as they divide down their long axis in a highly ordered manner, parallel to the tangential axis of the stem. CLAVATA3-LIKE/ESR-RELATED 41 (CLE41) and PHLOEM INTERCALATED WITH XYLEM (PXY) are a multifunctional ligand-receptor pair that regulate vascular cell division, vascular organisation and xylem differentiation in vascular tissue. A transcription factor gene, WUSCHEL HOMEOBOX RELATED 4 (WOX4) has been shown to act downstream of PXY. Here we show that WOX4 acts redundantly with WOX14 in the regulation of vascular cell division, but that these genes have no function in regulating vascular organisation. Furthermore, we identify an interaction between PXY and the receptor kinase ERECTA (ER) that affects the organisation of the vascular tissue but not the rate of cell division, suggesting that cell division and vascular organisation are genetically separable. Our observations also support a model whereby tissue organisation and cell division are integrated via PXY and ER signalling, which together coordinate development of different cell types that are essential for normal stem formation.","container-title":"Development (Cambridge, England)","DOI":"10.1242/dev.091314","ISSN":"1477-9129","issue":"10","journalAbbreviation":"Development","language":"eng","note":"PMID: 23578929\nPMCID: PMC3912870","page":"2224-2234","source":"PubMed","title":"WOX4 and WOX14 act downstream of the PXY receptor kinase to regulate plant vascular proliferation independently of any role in vascular organisation","volume":"140","author":[{"family":"Etchells","given":"J. Peter"},{"family":"Provost","given":"Claire M."},{"family":"Mishra","given":"Laxmi"},{"family":"Turner","given":"Simon R."}],"issued":{"date-parts":[["2013",5]]}}}],"schema":"https://github.com/citation-style-language/schema/raw/master/csl-citation.json"}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[37]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lastRenderedPageBreak/>
              <w:t>18</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HAG2</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LOC108847241</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c.909_910delGG|p.Ala304fs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Histone modification; control of cell cycle, flowering time, response to environmental conditions, hormone signalling and epigenetic processes.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{"citationID":"0UL8raGi","properties":{"formattedCitation":"[62]","plainCitation":"[62]","noteIndex":0},"citationItems":[{"id":1947,"uris":["http://zotero.org/users/9833672/items/52NZVIYK"],"itemData":{"id":1947,"type":"article-journal","abstract":"In all eukaryotes chromatin physically restricts the accessibility of the genome to regulatory proteins such as transcription factors. Plant model systems have been instrumental in demonstrating that this restriction is dynamic and changes during development and in response to exogenous cues. Among the multiple epigenetic mechanisms that alter chromatin to regulate gene expression, histone modifications play a major role. Recent studies in Arabidopsis have provided the first genome-wide histone modification maps, revealed important biological roles for histone modifications, and advanced our understanding of stimulus-dependent changes in histone modifications.","container-title":"Current Opinion in Plant Biology","DOI":"10.1016/j.pbi.2007.07.013","ISSN":"1369-5266","issue":"6","journalAbbreviation":"Curr Opin Plant Biol","language":"eng","note":"number: 6\nPMID: 17884714\nPMCID: PMC2140274","page":"645-652","source":"PubMed","title":"Histone modifications and dynamic regulation of genome accessibility in plants","volume":"10","author":[{"family":"Pfluger","given":"Jennifer"},{"family":"Wagner","given":"Doris"}],"issued":{"date-parts":[["2007",12]]}}}],"schema":"https://github.com/citation-style-language/schema/raw/master/csl-citation.json"}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19</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BIN4L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LOC130499962</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c.96_100delTTCAT|p.Cys32fs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Chromatin organisation and </w:t>
            </w:r>
            <w:proofErr w:type="spellStart"/>
            <w:r w:rsidRPr="00754B51">
              <w:rPr>
                <w:rFonts w:ascii="Palatino Linotype" w:eastAsia="Palatino Linotype" w:hAnsi="Palatino Linotype" w:cs="Palatino Linotype"/>
                <w:sz w:val="16"/>
                <w:szCs w:val="16"/>
                <w:lang w:val="en-US" w:eastAsia="ru-RU"/>
              </w:rPr>
              <w:t>endoreduplication</w:t>
            </w:r>
            <w:proofErr w:type="spellEnd"/>
            <w:r w:rsidRPr="00754B51">
              <w:rPr>
                <w:rFonts w:ascii="Palatino Linotype" w:eastAsia="Palatino Linotype" w:hAnsi="Palatino Linotype" w:cs="Palatino Linotype"/>
                <w:sz w:val="16"/>
                <w:szCs w:val="16"/>
                <w:lang w:val="en-US" w:eastAsia="ru-RU"/>
              </w:rPr>
              <w:t xml:space="preserve"> cycling.</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{"citationID":"oRlcJHvp","properties":{"formattedCitation":"[63]","plainCitation":"[63]","noteIndex":0},"citationItems":[{"id":1946,"uris":["http://zotero.org/users/9833672/items/24M4RESM"],"itemData":{"id":1946,"type":"article-journal","abstract":"How plant organs grow to reach their final size is an important but largely unanswered question. Here, we describe an Arabidopsis thaliana mutant, brassinosteroid-insensitive4 (bin4), in which the growth of various organs is dramatically reduced. Small organ size in bin4 is primarily caused by reduced cell expansion associated with defects in increasing ploidy by endoreduplication. Raising nuclear DNA content in bin4 by colchicine-induced polyploidization partially rescues the cell and organ size phenotype, indicating that BIN4 is directly and specifically required for endoreduplication rather than for subsequent cell expansion. BIN4 encodes a plant-specific, DNA binding protein that acts as a component of the plant DNA topoisomerase VI complex. Loss of BIN4 triggers an ATM- and ATR-dependent DNA damage response in postmitotic cells, and this response coincides with the upregulation of the cyclin B1;1 gene in the same cell types, suggesting a functional link between DNA damage response and endocycle control.","container-title":"The Plant Cell","DOI":"10.1105/tpc.107.054833","ISSN":"1040-4651","issue":"11","journalAbbreviation":"Plant Cell","language":"eng","note":"number: 11\nPMID: 18055605\nPMCID: PMC2174874","page":"3655-3668","source":"PubMed","title":"BIN4, a novel component of the plant DNA topoisomerase VI complex, is required for endoreduplication in Arabidopsis","volume":"19","author":[{"family":"Breuer","given":"Christian"},{"family":"Stacey","given":"Nicola J."},{"family":"West","given":"Christopher E."},{"family":"Zhao","given":"Yunde"},{"family":"Chory","given":"Joanne"},{"family":"Tsukaya","given":"Hirokazu"},{"family":"Azumi","given":"Yoshitaka"},{"family":"Maxwell","given":"Anthony"},{"family":"Roberts","given":"Keith"},{"family":"Sugimoto-Shirasu","given":"Keiko"}],"issued":{"date-parts":[["2007",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MYB65L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 xml:space="preserve"> LOC108862100</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c.195_196insAGGCTGGGTGCCT|p.Leu66fs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Inhibition of tissue growth by reduced cell proliferation; programmed cell death of protein-storing vacuoles in the </w:t>
            </w:r>
            <w:proofErr w:type="spellStart"/>
            <w:r w:rsidRPr="00754B51">
              <w:rPr>
                <w:rFonts w:ascii="Palatino Linotype" w:eastAsia="Palatino Linotype" w:hAnsi="Palatino Linotype" w:cs="Palatino Linotype"/>
                <w:sz w:val="16"/>
                <w:szCs w:val="16"/>
                <w:lang w:val="en-US" w:eastAsia="ru-RU"/>
              </w:rPr>
              <w:t>aleurone</w:t>
            </w:r>
            <w:proofErr w:type="spellEnd"/>
            <w:r w:rsidRPr="00754B51">
              <w:rPr>
                <w:rFonts w:ascii="Palatino Linotype" w:eastAsia="Palatino Linotype" w:hAnsi="Palatino Linotype" w:cs="Palatino Linotype"/>
                <w:sz w:val="16"/>
                <w:szCs w:val="16"/>
                <w:lang w:val="en-US" w:eastAsia="ru-RU"/>
              </w:rPr>
              <w:t xml:space="preserve"> layer during seed germination; anther and </w:t>
            </w:r>
            <w:proofErr w:type="spellStart"/>
            <w:r w:rsidRPr="00754B51">
              <w:rPr>
                <w:rFonts w:ascii="Palatino Linotype" w:eastAsia="Palatino Linotype" w:hAnsi="Palatino Linotype" w:cs="Palatino Linotype"/>
                <w:sz w:val="16"/>
                <w:szCs w:val="16"/>
                <w:lang w:val="en-US" w:eastAsia="ru-RU"/>
              </w:rPr>
              <w:t>tapetum</w:t>
            </w:r>
            <w:proofErr w:type="spellEnd"/>
            <w:r w:rsidRPr="00754B51">
              <w:rPr>
                <w:rFonts w:ascii="Palatino Linotype" w:eastAsia="Palatino Linotype" w:hAnsi="Palatino Linotype" w:cs="Palatino Linotype"/>
                <w:sz w:val="16"/>
                <w:szCs w:val="16"/>
                <w:lang w:val="en-US" w:eastAsia="ru-RU"/>
              </w:rPr>
              <w:t xml:space="preserve"> development.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{"citationID":"ncXklFEq","properties":{"formattedCitation":"[64]","plainCitation":"[64]","noteIndex":0},"citationItems":[{"id":1945,"uris":["http://zotero.org/users/9833672/items/AGV6F9ZV"],"itemData":{"id":1945,"type":"article-journal","abstract":"The functions of the vast majority of genes encoding R2R3 MYB domain proteins remain unknown. The closely related MYB33 and MYB65 genes of Arabidopsis thaliana have high sequence similarity to the barley (Hordeum vulgare) GAMYB gene. T-DNA insertional mutants were isolated for both genes, and a myb33 myb65 double mutant was defective in anther development. In myb33 myb65 anthers, the tapetum undergoes hypertrophy at the pollen mother cell stage, resulting in premeiotic abortion of pollen development. However, myb33 myb65 sterility was conditional, where fertility increased both under higher light or lower temperature conditions. Thus, MYB33/MYB65 facilitate, but are not essential for, anther development. Neither single mutant displayed a phenotype, implying that MYB33 and MYB65 are functionally redundant. Consistent with functional redundancy, promoter-beta-glucuronidase (GUS) fusions of MYB33 and MYB65 gave identical expression patterns in flowers (sepals, style, receptacle, anther filaments, and connective but not in anthers themselves), shoot apices, and root tips. By contrast, expression of a MYB33:GUS translational fusion in flowers was solely in young anthers (consistent with the male sterile phenotype), and no staining was seen in shoot meristems or root tips. A microRNA target sequence is present in the MYB genes, and mutating this sequence in the MYB33:GUS fusion results in an expanded expression pattern, in tissues similar to that observed in the promoter-GUS lines, implying that the microRNA target sequence is restricting MYB33 expression. Arabidopsis transformed with MYB33 containing the mutated microRNA target had dramatic pleiotrophic developmental defects, suggesting that restricting MYB33 expression, especially in the shoot apices, is essential for proper plant development.","container-title":"The Plant Cell","DOI":"10.1105/tpc.104.027920","ISSN":"1040-4651","issue":"3","journalAbbreviation":"Plant Cell","language":"eng","note":"number: 3\nPMID: 15722475\nPMCID: PMC1069693","page":"705-721","source":"PubMed","title":"The Arabidopsis GAMYB-like genes, MYB33 and MYB65, are microRNA-regulated genes that redundantly facilitate anther development","volume":"17","author":[{"family":"Millar","given":"Anthony A."},{"family":"Gubler","given":"Frank"}],"issued":{"date-parts":[["2005",3]]}}}],"schema":"https://github.com/citation-style-language/schema/raw/master/csl-citation.json"}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DUF724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8</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LOC108820138</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c.25dupA|p.Thr9fs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Polar</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cell</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growth</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{"citationID":"KZdgUhdp","properties":{"formattedCitation":"[65]","plainCitation":"[65]","noteIndex":0},"citationItems":[{"id":1944,"uris":["http://zotero.org/users/9833672/items/GP6R59XK"],"itemData":{"id":1944,"type":"article-journal","abstract":"Eighteen genes that encode the proteins with highly conserved Domain of Unknown Function 724 (DUF724) and Agenet domains were identified in plant taxa but not in animals and fungi. They are actively expressed in many different plant tissues, implying that they may play important roles in plants. Here we report the characterization of their structural organizations, expression patterns and protein-protein interactions. In Arabidopsis, the DUF724 genes were expressed in roots, leaves, shoot apical meristems, anthers and pollen grains. At least seven of the ten Arabidopsis DUF724 proteins (AtDuf1 to AtDuf10) were localized in nucleus. Three of them (AtDuf3, AtDuf5 and AtDuf7) may form homodimers or homopolymers, but did not interact with other members of the same family. Together with the significant similarity between DUF724 proteins and FMRP in the fundamental and characteristic molecular architecture, the results implies the DUF724 gene family may be involved in the polar growth of plant cells via transportation of RNAs.","container-title":"Plant Molecular Biology","DOI":"10.1007/s11103-009-9551-5","ISSN":"1573-5028","issue":"1-2","journalAbbreviation":"Plant Mol Biol","language":"eng","note":"number: 1-2\nPMID: 19795213","page":"61-73","source":"PubMed","title":"Characterization of DUF724 gene family in Arabidopsis thaliana","volume":"72","author":[{"family":"Cao","given":"Xi"},{"family":"Yang","given":"Ke-Zhen"},{"family":"Xia","given":"Chuan"},{"family":"Zhang","given":"Xue-Qin"},{"family":"Chen","given":"Li-Qun"},{"family":"Ye","given":"De"}],"issued":{"date-parts":[["2010",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22</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AGP22</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LOC108826274</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c.1_1delGA|p.Met1fs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Differentiation, embryogenesis and programmed cell death.</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{"citationID":"DXpo763H","properties":{"formattedCitation":"[66]","plainCitation":"[66]","noteIndex":0},"citationItems":[{"id":1943,"uris":["http://zotero.org/users/9833672/items/F749G933"],"itemData":{"id":1943,"type":"article-journal","abstract":"Arabinogalactan proteins (AGPs) are heavily glycosylated proteins existing in all members of the plant kingdom and are differentially distributed through distinctive developmental stages. Here, we showed the individual distributions of specific Arabidopsis AGPs: AGP1, AGP9, AGP12, AGP15, and AGP23, throughout reproductive tissues and indicated their possible roles in several reproductive processes. AGP genes specifically expressed in female tissues were identified using available microarray data. This selection was confirmed by promoter analysis using multiple green fluorescent protein fusions to a nuclear localization signal, β-glucuronidase fusions, and in situ hybridization as approaches to confirm the expression patterns of the AGPs. Promoter analysis allowed the detection of a specific and differential presence of these proteins along the pathway followed by the pollen tube during its journey to reach the egg and the central cell inside the embryo sac. AGP1 was expressed in the stigma, style, transmitting tract, and the chalazal and funiculus tissues of the ovules. AGP9 was present along the vasculature of the reproductive tissues and AGP12 was expressed in the stigmatic cells, chalazal and funiculus cells of the ovules, and in the septum. AGP15 was expressed in all pistil tissues, except in the transmitting tract, while AGP23 was specific to the pollen grain and pollen tube. The expression pattern of these AGPs provides new evidence for the detection of a subset of specific AGPs involved in plant reproductive processes, being of significance for this field of study. AGPs are prominent candidates for male-female communication during reproduction.","container-title":"Journal of Experimental Botany","DOI":"10.1093/jxb/eru300","ISSN":"1460-2431","issue":"18","journalAbbreviation":"J Exp Bot","language":"eng","note":"number: 18\nPMID: 25053647\nPMCID: PMC4400541","page":"5459-5471","source":"PubMed","title":"Differential expression patterns of arabinogalactan proteins in Arabidopsis thaliana reproductive tissues","volume":"65","author":[{"family":"Pereira","given":"Ana Marta"},{"family":"Masiero","given":"Simona"},{"family":"Nobre","given":"Margarida Sofia"},{"family":"Costa","given":"Mário Luís"},{"family":"Solís","given":"María-Teresa"},{"family":"Testillano","given":"Pilar S."},{"family":"Sprunck","given":"Stefanie"},{"family":"Coimbra","given":"Sílvia"}],"issued":{"date-parts":[["2014",10]]}}}],"schema":"https://github.com/citation-style-language/schema/raw/master/csl-citation.json"}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23</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AGP27</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LOC108809107</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c.111_112delTC|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p.Pro38fs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Differentiation, embryogenesis and programmed cell death.</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{"citationID":"tOtBXlr0","properties":{"formattedCitation":"[66]","plainCitation":"[66]","noteIndex":0},"citationItems":[{"id":1943,"uris":["http://zotero.org/users/9833672/items/F749G933"],"itemData":{"id":1943,"type":"article-journal","abstract":"Arabinogalactan proteins (AGPs) are heavily glycosylated proteins existing in all members of the plant kingdom and are differentially distributed through distinctive developmental stages. Here, we showed the individual distributions of specific Arabidopsis AGPs: AGP1, AGP9, AGP12, AGP15, and AGP23, throughout reproductive tissues and indicated their possible roles in several reproductive processes. AGP genes specifically expressed in female tissues were identified using available microarray data. This selection was confirmed by promoter analysis using multiple green fluorescent protein fusions to a nuclear localization signal, β-glucuronidase fusions, and in situ hybridization as approaches to confirm the expression patterns of the AGPs. Promoter analysis allowed the detection of a specific and differential presence of these proteins along the pathway followed by the pollen tube during its journey to reach the egg and the central cell inside the embryo sac. AGP1 was expressed in the stigma, style, transmitting tract, and the chalazal and funiculus tissues of the ovules. AGP9 was present along the vasculature of the reproductive tissues and AGP12 was expressed in the stigmatic cells, chalazal and funiculus cells of the ovules, and in the septum. AGP15 was expressed in all pistil tissues, except in the transmitting tract, while AGP23 was specific to the pollen grain and pollen tube. The expression pattern of these AGPs provides new evidence for the detection of a subset of specific AGPs involved in plant reproductive processes, being of significance for this field of study. AGPs are prominent candidates for male-female communication during reproduction.","container-title":"Journal of Experimental Botany","DOI":"10.1093/jxb/eru300","ISSN":"1460-2431","issue":"18","journalAbbreviation":"J Exp Bot","language":"eng","note":"number: 18\nPMID: 25053647\nPMCID: PMC4400541","page":"5459-5471","source":"PubMed","title":"Differential expression patterns of arabinogalactan proteins in Arabidopsis thaliana reproductive tissues","volume":"65","author":[{"family":"Pereira","given":"Ana Marta"},{"family":"Masiero","given":"Simona"},{"family":"Nobre","given":"Margarida Sofia"},{"family":"Costa","given":"Mário Luís"},{"family":"Solís","given":"María-Teresa"},{"family":"Testillano","given":"Pilar S."},{"family":"Sprunck","given":"Stefanie"},{"family":"Coimbra","given":"Sílvia"}],"issued":{"date-parts":[["2014",10]]}}}],"schema":"https://github.com/citation-style-language/schema/raw/master/csl-citation.json"}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4323"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eastAsia="ru-RU"/>
              </w:rPr>
            </w:pPr>
            <w:proofErr w:type="spellStart"/>
            <w:r w:rsidRPr="00754B51">
              <w:rPr>
                <w:rFonts w:ascii="Palatino Linotype" w:eastAsia="Palatino Linotype" w:hAnsi="Palatino Linotype" w:cs="Palatino Linotype"/>
                <w:b/>
                <w:sz w:val="16"/>
                <w:szCs w:val="16"/>
                <w:lang w:eastAsia="ru-RU"/>
              </w:rPr>
              <w:t>Control</w:t>
            </w:r>
            <w:proofErr w:type="spellEnd"/>
            <w:r w:rsidRPr="00754B51">
              <w:rPr>
                <w:rFonts w:ascii="Palatino Linotype" w:eastAsia="Palatino Linotype" w:hAnsi="Palatino Linotype" w:cs="Palatino Linotype"/>
                <w:b/>
                <w:sz w:val="16"/>
                <w:szCs w:val="16"/>
                <w:lang w:eastAsia="ru-RU"/>
              </w:rPr>
              <w:t xml:space="preserve"> of </w:t>
            </w:r>
            <w:proofErr w:type="spellStart"/>
            <w:r w:rsidRPr="00754B51">
              <w:rPr>
                <w:rFonts w:ascii="Palatino Linotype" w:eastAsia="Palatino Linotype" w:hAnsi="Palatino Linotype" w:cs="Palatino Linotype"/>
                <w:b/>
                <w:sz w:val="16"/>
                <w:szCs w:val="16"/>
                <w:lang w:eastAsia="ru-RU"/>
              </w:rPr>
              <w:t>meristem</w:t>
            </w:r>
            <w:proofErr w:type="spellEnd"/>
            <w:r w:rsidRPr="00754B51">
              <w:rPr>
                <w:rFonts w:ascii="Palatino Linotype" w:eastAsia="Palatino Linotype" w:hAnsi="Palatino Linotype" w:cs="Palatino Linotype"/>
                <w:b/>
                <w:sz w:val="16"/>
                <w:szCs w:val="16"/>
                <w:lang w:eastAsia="ru-RU"/>
              </w:rPr>
              <w:t xml:space="preserve"> </w:t>
            </w:r>
            <w:proofErr w:type="spellStart"/>
            <w:r w:rsidRPr="00754B51">
              <w:rPr>
                <w:rFonts w:ascii="Palatino Linotype" w:eastAsia="Palatino Linotype" w:hAnsi="Palatino Linotype" w:cs="Palatino Linotype"/>
                <w:b/>
                <w:sz w:val="16"/>
                <w:szCs w:val="16"/>
                <w:lang w:eastAsia="ru-RU"/>
              </w:rPr>
              <w:t>activity</w:t>
            </w:r>
            <w:proofErr w:type="spellEnd"/>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24</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LBD4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LOC108857433</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c.17dupG|p.Gly7fs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Phloem/xylem histogenesis; regulation of radial growth through control of cell size and cambium cell divisions.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{"citationID":"OqY8y74k","properties":{"formattedCitation":"[67]","plainCitation":"[67]","noteIndex":0},"citationItems":[{"id":1942,"uris":["http://zotero.org/users/9833672/items/MKMJGZEK"],"itemData":{"id":1942,"type":"article-journal","abstract":"During primary growth, plant tissues increase their length, and as these tissues mature, they initiate secondary growth to increase thickness.1 It is not known what activates this transition to secondary growth. Cytokinins are key plant hormones regulating vascular development during both primary and secondary growth. During primary growth of Arabidopsis roots, cytokinins promote procambial cell proliferation2,3 and vascular patterning together with the hormone auxin.4-7 In the absence of cytokinins, secondary growth fails to initiate.8 Enhanced cytokinin levels, in turn, promote secondary growth.8,9 Despite the importance of cytokinins, little is known about the downstream signaling events in this process. Here, we show that cytokinins and a few downstream LATERAL ORGAN BOUNDARIES DOMAIN (LBD) family of transcription factors are rate-limiting components in activating and further promoting secondary growth in Arabidopsis roots. Cytokinins directly activate transcription of two homologous LBD genes, LBD3 and LBD4. Two other homologous LBDs, LBD1 and LBD11, are induced only after prolonged cytokinin treatment. Our genetic studies revealed a two-stage mechanism downstream of cytokinin signaling: while LBD3 and LBD4 regulate activation of secondary growth, LBD1, LBD3, LBD4, and LBD11 together promote further radial growth and maintenance of cambial stem cells. LBD overexpression promoted rapid cell growth followed by accelerated cell divisions, thus leading to enhanced secondary growth. Finally, we show that LBDs rapidly inhibit cytokinin signaling. Together, our data suggest that the cambium-promoting LBDs negatively feed back into cytokinin signaling to keep root secondary growth in balance.","container-title":"Current biology: CB","DOI":"10.1016/j.cub.2021.05.036","ISSN":"1879-0445","issue":"15","journalAbbreviation":"Curr Biol","language":"eng","note":"number: 15\nPMID: 34129827\nPMCID: PMC8360765","page":"3365-3373.e7","source":"PubMed","title":"Cytokinins initiate secondary growth in the Arabidopsis root through a set of LBD genes","volume":"31","author":[{"family":"Ye","given":"Lingling"},{"family":"Wang","given":"Xin"},{"family":"Lyu","given":"Munan"},{"family":"Siligato","given":"Riccardo"},{"family":"Eswaran","given":"Gugan"},{"family":"Vainio","given":"Leo"},{"family":"Blomster","given":"Tiina"},{"family":"Zhang","given":"Jing"},{"family":"Mähönen","given":"Ari Pekka"}],"issued":{"date-parts":[["2021",8,9]]}}}],"schema":"https://github.com/citation-style-language/schema/raw/master/csl-citation.json"}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25</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ASK1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LOC108827710</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c.535_536dupTT|p.Leu179fs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Regulation of meristem development; response to osmotic stress.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{"citationID":"jMLQDC2y","properties":{"formattedCitation":"[68]","plainCitation":"[68]","noteIndex":0},"citationItems":[{"id":1860,"uris":["http://zotero.org/users/9833672/items/RQIANSDL"],"itemData":{"id":1860,"type":"article-journal","abstract":"Although most osmotic stresses are harmful to plant growth and development, certain drought- or polyethylene glycol (PEG)-induced mild osmotic stresses promote plant root growth. The underlying regulatory mechanisms of this response remain elusive. Here, we report that the GLYCOGEN SYNTHASE KINASE 3 (GSK3) genes ARABIDOPSIS THALIANA SHAGGY-RELATED KINASE 11 (AtSK11) (AT5G26751) and AtSK12 (AT3G05840) are involved in the mild osmotic stress (−0.4 MPa) response in Arabidopsis thaliana. When grown on plant medium infused with different concentrations of PEG to mimic osmotic stress, both wild-type (WT) and atsk11atsk12 plants showed stimulated root growth under mild osmotic stress (−0.4 MPa) but repressed root growth under relatively strong osmotic stress (−0.5, −0.6, −0.7 MPa) as compared to the mock condition (−0.25 MPa). The root growth stimulation of atsk11atsk12 was more sensitive to −0.4 MPa treatment than was that of WT, indicating that AtSK11 and AtSK12 inhibit the mild stress-induced root growth response. RNA-seq analysis of WT and atsk11atsk12 plants under three water potentials (−0.25 MPa, −0.4 MPa, −0.6 MPa) revealed 10 differentially expressed candidate genes mainly involved in cell wall homeostasis, which were regulated by AtSK11 and AtSK12 to regulate root growth in response to the mild stress condition (−0.4 MPa). Promoter motif and transcription factor binding analyses suggested that the basic helix-loop-helix (bHLH) transcription factor bHLH69/LJRHL1-LIKE 2 (LRL2) may directly regulate the expression of most −0.4 MPa-responsive genes. These findings indicate that mild osmotic stress (−0.4 MPa) promotes plant growth and that the GSK3 family kinase genes AtSK11 and AtSK12 play a negative role in the induction of root growth in response to mild osmotic stress.","container-title":"International Journal of Molecular Sciences","DOI":"10.3390/ijms21113991","ISSN":"1422-0067","issue":"11","journalAbbreviation":"Int J Mol Sci","note":"PMID: 32498390\nPMCID: PMC7312642","page":"3991","source":"PubMed Central","title":"AtSK11 and AtSK12 Mediate the Mild Osmotic Stress-Induced Root Growth Response in Arabidopsis","volume":"21","author":[{"family":"Dong","given":"Long"},{"family":"Wang","given":"Zhixin"},{"family":"Liu","given":"Jing"},{"family":"Wang","given":"Xuelu"}],"issued":{"date-parts":[["2020",6,2]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26</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LOC130500851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LOC130500851</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c.654delT|p.Ala219fs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Lateral root initiation and shoot regeneration.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{"citationID":"Z67WQkUZ","properties":{"formattedCitation":"[69]","plainCitation":"[69]","noteIndex":0},"citationItems":[{"id":1940,"uris":["http://zotero.org/users/9833672/items/N6SNF6XP"],"itemData":{"id":1940,"type":"article-journal","abstract":"BACKGROUND: The fasciclin-like arabinogalactan-proteins (FLAs) are an enigmatic class of 21 members within the larger family of arabinogalactan-proteins (AGPs) in Arabidopsis thaliana. Located at the cell surface, in the cell wall/plasma membrane, they are implicated in many developmental roles yet their function remains largely undefined. Fasciclin (FAS) domains are putative cell-adhesion domains found in extracellular matrix proteins of organisms from all kingdoms, but the juxtaposition of FAS domains with highly glycosylated AGP domains is unique to plants. Recent studies have started to elucidate the role of FLAs in Arabidopsis development. FLAs containing a single FAS domain are important for the integrity and elasticity of the plant cell wall matrix (FLA11 and FLA12) and FLA3 is involved in microspore development. FLA4/SOS5 with two FAS domains and two AGP domains has a role in maintaining proper cell expansion under salt stressed conditions. The role of other FLAs remains to be uncovered.\nMETHOD/PRINCIPAL FINDINGS: Here we describe the characterisation of a T-DNA insertion mutant in the FLA1 gene (At5g55730). Under standard growth conditions fla1-1 mutants have no obvious phenotype. Based on gene expression studies, a putative role for FLA1 in callus induction was investigated and revealed that fla1-1 has a reduced ability to regenerate shoots in an in vitro shoot-induction assay. Analysis of FLA1p:GUS reporter lines show that FLA1 is expressed in several tissues including stomata, trichomes, the vasculature of leaves, the primary root tip and in lateral roots near the junction of the primary root.\nCONCLUSION: The results of the developmental expression of FLA1 and characterisation of the fla1 mutant support a role for FLA1 in the early events of lateral root development and shoot development in tissue culture, prior to cell-type specification.","container-title":"PloS One","DOI":"10.1371/journal.pone.0025154","ISSN":"1932-6203","issue":"9","journalAbbreviation":"PLoS One","language":"eng","note":"number: 9\nPMID: 21966441\nPMCID: PMC3178619","page":"e25154","source":"PubMed","title":"A fasciclin-like arabinogalactan-protein (FLA) mutant of Arabidopsis thaliana, fla1, shows defects in shoot regeneration","volume":"6","author":[{"family":"Johnson","given":"Kim L."},{"family":"Kibble","given":"Natalie A. J."},{"family":"Bacic","given":"Antony"},{"family":"Schultz","given":"Carolyn J."}],"issued":{"date-parts":[["2011"]]}}}],"schema":"https://github.com/citation-style-language/schema/raw/master/csl-citation.json"}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[69]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27</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REM15</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LOC108808545</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c.2917dupT|p.Cys973fs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Flower</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development</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{"citationID":"RvTHGMiF","properties":{"formattedCitation":"[70]","plainCitation":"[70]","noteIndex":0},"citationItems":[{"id":1939,"uris":["http://zotero.org/users/9833672/items/8ZLCB8XF"],"itemData":{"id":1939,"type":"article-journal","abstract":"BACKGROUND AND AIMS: The REM (Reproductive Meristem) gene family of Arabidopsis thaliana is part of the B3 DNA-binding domain superfamily. Despite the fact that several groups have worked on the REM genes for many years, little is known about the function of this transcription factor family. This study aims to identify a set of REM genes involved in flower development and to characterize their function.\nMETHODS: In order to provide an overview of the REM gene family, a detailed expression analysis for all REM genes of A. thaliana was performed and combined with a meta-analysis of ChIP-sequencing and microarray experiments.\nKEY RESULTS: Two sets of phylogenetically closely related REM genes, namely REM23, REM24 and REM25, and REM34, REM35 and REM36, were identified as possibly being involved in the early stages of flower development. Single- and double-mutant combinations were analysed for these genes, and no phenotypic effects were detected during flower development.\nCONCLUSIONS: The data suggest that the REM34, REM35 and REM36 group is the most interesting one, as REM34 is co-expressed with the floral meristem identity (FMI) genes, they are bound by AP1, SVP, AP3 and PI, and they are expressed in the floral meristem and during the earliest stages of flower development. However, it appears that high levels of functional redundancy may conceal the exact function of these transcription factor genes.","container-title":"Annals of Botany","DOI":"10.1093/aob/mcu124","ISSN":"1095-8290","issue":"7","journalAbbreviation":"Ann Bot","language":"eng","note":"number: 7\nPMID: 25002525\nPMCID: PMC4204784","page":"1507-1515","source":"PubMed","title":"Analysis of the arabidopsis REM gene family predicts functions during flower development","volume":"114","author":[{"family":"Mantegazza","given":"Otho"},{"family":"Gregis","given":"Veronica"},{"family":"Mendes","given":"Marta Adelina"},{"family":"Morandini","given":"Piero"},{"family":"Alves-Ferreira","given":"Márcio"},{"family":"Patreze","given":"Camila M."},{"family":"Nardeli","given":"Sarah M."},{"family":"Kater","given":"Martin M."},{"family":"Colombo","given":"Lucia"}],"issued":{"date-parts":[["2014",11]]}}}],"schema":"https://github.com/citation-style-language/schema/raw/master/csl-citation.json"}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28</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PLT1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LOC108829093</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c.177_178insTA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|p.Asp60fs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Specification of the resting root and </w:t>
            </w:r>
            <w:proofErr w:type="spellStart"/>
            <w:r w:rsidRPr="00754B51">
              <w:rPr>
                <w:rFonts w:ascii="Palatino Linotype" w:eastAsia="Palatino Linotype" w:hAnsi="Palatino Linotype" w:cs="Palatino Linotype"/>
                <w:sz w:val="16"/>
                <w:szCs w:val="16"/>
                <w:lang w:val="en-US" w:eastAsia="ru-RU"/>
              </w:rPr>
              <w:t>columella</w:t>
            </w:r>
            <w:proofErr w:type="spellEnd"/>
            <w:r w:rsidRPr="00754B51">
              <w:rPr>
                <w:rFonts w:ascii="Palatino Linotype" w:eastAsia="Palatino Linotype" w:hAnsi="Palatino Linotype" w:cs="Palatino Linotype"/>
                <w:sz w:val="16"/>
                <w:szCs w:val="16"/>
                <w:lang w:val="en-US" w:eastAsia="ru-RU"/>
              </w:rPr>
              <w:t xml:space="preserve"> </w:t>
            </w:r>
            <w:proofErr w:type="spellStart"/>
            <w:r w:rsidRPr="00754B51">
              <w:rPr>
                <w:rFonts w:ascii="Palatino Linotype" w:eastAsia="Palatino Linotype" w:hAnsi="Palatino Linotype" w:cs="Palatino Linotype"/>
                <w:sz w:val="16"/>
                <w:szCs w:val="16"/>
                <w:lang w:val="en-US" w:eastAsia="ru-RU"/>
              </w:rPr>
              <w:t>centre</w:t>
            </w:r>
            <w:proofErr w:type="spellEnd"/>
            <w:r w:rsidRPr="00754B51">
              <w:rPr>
                <w:rFonts w:ascii="Palatino Linotype" w:eastAsia="Palatino Linotype" w:hAnsi="Palatino Linotype" w:cs="Palatino Linotype"/>
                <w:sz w:val="16"/>
                <w:szCs w:val="16"/>
                <w:lang w:val="en-US" w:eastAsia="ru-RU"/>
              </w:rPr>
              <w:t>; stem cell niche formation during embryogenesis; modulation of polar auxin transport through regulation of PIN gene distribution. A component of the ethylene-activated signalling pathway. Telomere maintenance.</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{"citationID":"WGsyEMhJ","properties":{"formattedCitation":"[71]","plainCitation":"[71]","noteIndex":0},"citationItems":[{"id":1695,"uris":["http://zotero.org/users/9833672/items/SSCTQMRC"],"itemData":{"id":1695,"type":"article-journal","abstract":"Continuous formation of somatic tissues in plants requires functional stem cell niches where undifferentiated cells are maintained. In Arabidopsis thaliana, PLETHORA (PLT) and SCARECROW (SCR) genes are outputs of apical-basal and radial patterning systems, and both are required for root stem cell specification and maintenance. The WUSCHEL-RELATED HOMEOBOX 5 (WOX5) gene is specifically expressed in and required for functions of a small group of root stem cell organizer cells, also called the quiescent center (QC). PLT and SCR are required for QC function, and their expression overlaps in the QC; however, how they specify the organizer has remained unknown. We show that PLT and SCR genetically and physically interact with plant-specific teosinte-branched cycloidea PCNA (TCP) transcription factors to specify the stem cell niche during embryogenesis and maintain organizer cells post-embryonically. PLT-TCP-SCR complexes converge on PLT-binding sites in the WOX5 promoter to induce expression.","container-title":"Genes &amp; Development","DOI":"10.1101/gad.314096.118","ISSN":"1549-5477","issue":"15-16","journalAbbreviation":"Genes Dev","language":"eng","note":"PMID: 30018102\nPMCID: PMC6075145","page":"1085-1100","source":"PubMed","title":"Root stem cell niche organizer specification by molecular convergence of PLETHORA and SCARECROW transcription factor modules","volume":"32","author":[{"family":"Shimotohno","given":"Akie"},{"family":"Heidstra","given":"Renze"},{"family":"Blilou","given":"Ikram"},{"family":"Scheres","given":"Ben"}],"issued":{"date-parts":[["2018",8,1]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4323"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b/>
                <w:sz w:val="16"/>
                <w:szCs w:val="16"/>
                <w:lang w:eastAsia="ru-RU"/>
              </w:rPr>
              <w:t>Regulation</w:t>
            </w:r>
            <w:proofErr w:type="spellEnd"/>
            <w:r w:rsidRPr="00754B51">
              <w:rPr>
                <w:rFonts w:ascii="Palatino Linotype" w:eastAsia="Palatino Linotype" w:hAnsi="Palatino Linotype" w:cs="Palatino Linotype"/>
                <w:b/>
                <w:sz w:val="16"/>
                <w:szCs w:val="16"/>
                <w:lang w:eastAsia="ru-RU"/>
              </w:rPr>
              <w:t xml:space="preserve"> of </w:t>
            </w:r>
            <w:proofErr w:type="spellStart"/>
            <w:r w:rsidRPr="00754B51">
              <w:rPr>
                <w:rFonts w:ascii="Palatino Linotype" w:eastAsia="Palatino Linotype" w:hAnsi="Palatino Linotype" w:cs="Palatino Linotype"/>
                <w:b/>
                <w:sz w:val="16"/>
                <w:szCs w:val="16"/>
                <w:lang w:eastAsia="ru-RU"/>
              </w:rPr>
              <w:t>gene</w:t>
            </w:r>
            <w:proofErr w:type="spellEnd"/>
            <w:r w:rsidRPr="00754B51">
              <w:rPr>
                <w:rFonts w:ascii="Palatino Linotype" w:eastAsia="Palatino Linotype" w:hAnsi="Palatino Linotype" w:cs="Palatino Linotype"/>
                <w:b/>
                <w:sz w:val="16"/>
                <w:szCs w:val="16"/>
                <w:lang w:eastAsia="ru-RU"/>
              </w:rPr>
              <w:t xml:space="preserve"> </w:t>
            </w:r>
            <w:proofErr w:type="spellStart"/>
            <w:r w:rsidRPr="00754B51">
              <w:rPr>
                <w:rFonts w:ascii="Palatino Linotype" w:eastAsia="Palatino Linotype" w:hAnsi="Palatino Linotype" w:cs="Palatino Linotype"/>
                <w:b/>
                <w:sz w:val="16"/>
                <w:szCs w:val="16"/>
                <w:lang w:eastAsia="ru-RU"/>
              </w:rPr>
              <w:t>expression</w:t>
            </w:r>
            <w:proofErr w:type="spellEnd"/>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29</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WOX2</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LOC108841333</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c.2593delG|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p.Glu865fs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Embryonic</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pattern</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formation</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{"citationID":"j3MR6aDs","properties":{"formattedCitation":"[72]","plainCitation":"[72]","noteIndex":0},"citationItems":[{"id":1937,"uris":["http://zotero.org/users/9833672/items/AIPHNEFZ"],"itemData":{"id":1937,"type":"article-journal","abstract":"In this study, we characterized the function of WUSCHEL-RELATED HOMEOBOX 2 (WOX2) using overexpression, CRES-T, and VP16 fusion techniques. Although the function of WOX2 has been described mainly in embryogenesis, it was unclear whether it also plays a role in the post-embryogenic developmental stage. We found that WOX2 has transcriptional repression activity and that either overexpression of WOX2 or expression of its chimeric repressor causes severe growth defects and other morphological phenotypes by impairing plant organ formation and separation. By contrast, VP16-fused WOX2-expressing plants did not display such severe phenotypic defects. In addition, some of them displayed phenotypic defects such as fusion of organs and induction of undifferentiated cells in the boundary regions of organs where GUS staining was clearly observed in the proWOX2:GUS transgenic plants. We suggest that WOX2 is involved in regulation of lateral organ formation and separation during the post-embryogenic development processes.","container-title":"Plant Biotechnology (Tokyo, Japan)","DOI":"10.5511/plantbiotechnology.16.0202a","ISSN":"1342-4580","issue":"4","journalAbbreviation":"Plant Biotechnol (Tokyo)","language":"eng","note":"number: 4\nPMID: 31274988\nPMCID: PMC6565944","page":"245-253","source":"PubMed","title":"WUSCHEL-RELATED HOMEOBOX 2 is a transcriptional repressor involved in lateral organ formation and separation in Arabidopsis","volume":"33","author":[{"family":"Chung","given":"KwiMi"},{"family":"Sakamoto","given":"Shingo"},{"family":"Mitsuda","given":"Nobutaka"},{"family":"Suzuki","given":"Kaoru"},{"family":"Ohme-Takagi","given":"Masaru"},{"family":"Fujiwara","given":"Sumire"}],"issued":{"date-parts":[["2016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ERF121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8</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LOC108837093</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c.428_429delAG|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p.Lys143fs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Regulation of gene expression by stress factors and components of signal transduction pathways under stress.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{"citationID":"9ekQExy5","properties":{"formattedCitation":"[73]","plainCitation":"[73]","noteIndex":0},"citationItems":[{"id":1936,"uris":["http://zotero.org/users/9833672/items/KTM8HQYB"],"itemData":{"id":1936,"type":"article-journal","abstract":"Transcription activator‐like effectors (TALEs), which induce the expression of specific plant genes to promote infection, are the main pathogenic determinants of various Xanthomonas bacteria. However, investigation of TALEs from Xanthomonas campestris pv. campestris, which causes black rot disease of crucifers, received little attention. In this study, we used PCR‐based amplification followed by SMRT amplicon sequencing to identify TALE genes in several X. campestris pv. campestris strains. Computational prediction in conjunction with quantitative reverse transcription PCR analysis was used to find their targets in the Brassica oleracea genome. Transcription factor ERF121, from the AP2/ERF family, was identified as target gene for the conserved TALEs from multiple X. campestris pv. campestris strains. Several members of this family from diverse plants were previously identified as targets of TALEs from different Xanthomonas species. We propose that TALE‐dependent activation of AP2/ERF transcription factors promotes susceptibility to Xanthomonas through the misregulation of plant defence pathways., \nXanthomonas campestris pv. campestris, causative agent of the black rot disease of crucifers, up‐regulates transcription factor ERF121 in Brassica oleracea by the conserved TAL‐effector.","container-title":"Molecular Plant Pathology","DOI":"10.1111/mpp.13048","ISSN":"1464-6722","issue":"5","journalAbbreviation":"Mol Plant Pathol","note":"number: 5\nPMID: 33650275\nPMCID: PMC8035633","page":"618-624","source":"PubMed Central","title":"An ERF121 transcription factor from Brassica oleracea is a target for the conserved TAL‐effectors from different Xanthomonas campestris pv. campestris strains","volume":"22","author":[{"family":"Zlobin","given":"Nikolay"},{"family":"Lebedeva","given":"Marina"},{"family":"Monakhova","given":"Yuliya"},{"family":"Ustinova","given":"Vera"},{"family":"Taranov","given":"Vasiliy"}],"issued":{"date-parts":[["2021",3,1]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ARR21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LOC108815221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c.599delT|p.Leu200fs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val="en-US" w:eastAsia="ru-RU"/>
              </w:rPr>
              <w:t xml:space="preserve">B-type response regulator involved in the </w:t>
            </w:r>
            <w:proofErr w:type="spellStart"/>
            <w:r w:rsidRPr="00754B51">
              <w:rPr>
                <w:rFonts w:ascii="Palatino Linotype" w:eastAsia="Palatino Linotype" w:hAnsi="Palatino Linotype" w:cs="Palatino Linotype"/>
                <w:sz w:val="16"/>
                <w:szCs w:val="16"/>
                <w:lang w:val="en-US" w:eastAsia="ru-RU"/>
              </w:rPr>
              <w:t>phosphorelay</w:t>
            </w:r>
            <w:proofErr w:type="spellEnd"/>
            <w:r w:rsidRPr="00754B51">
              <w:rPr>
                <w:rFonts w:ascii="Palatino Linotype" w:eastAsia="Palatino Linotype" w:hAnsi="Palatino Linotype" w:cs="Palatino Linotype"/>
                <w:sz w:val="16"/>
                <w:szCs w:val="16"/>
                <w:lang w:val="en-US" w:eastAsia="ru-RU"/>
              </w:rPr>
              <w:t xml:space="preserve">-type signal transduction system from His to Asp. </w:t>
            </w:r>
            <w:proofErr w:type="spellStart"/>
            <w:r w:rsidRPr="00754B51">
              <w:rPr>
                <w:rFonts w:ascii="Palatino Linotype" w:eastAsia="Palatino Linotype" w:hAnsi="Palatino Linotype" w:cs="Palatino Linotype"/>
                <w:sz w:val="16"/>
                <w:szCs w:val="16"/>
                <w:lang w:eastAsia="ru-RU"/>
              </w:rPr>
              <w:t>Activates</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the</w:t>
            </w:r>
            <w:proofErr w:type="spellEnd"/>
            <w:r w:rsidRPr="00754B51">
              <w:rPr>
                <w:rFonts w:ascii="Palatino Linotype" w:eastAsia="Palatino Linotype" w:hAnsi="Palatino Linotype" w:cs="Palatino Linotype"/>
                <w:sz w:val="16"/>
                <w:szCs w:val="16"/>
                <w:lang w:eastAsia="ru-RU"/>
              </w:rPr>
              <w:t xml:space="preserve"> A-</w:t>
            </w:r>
            <w:proofErr w:type="spellStart"/>
            <w:r w:rsidRPr="00754B51">
              <w:rPr>
                <w:rFonts w:ascii="Palatino Linotype" w:eastAsia="Palatino Linotype" w:hAnsi="Palatino Linotype" w:cs="Palatino Linotype"/>
                <w:sz w:val="16"/>
                <w:szCs w:val="16"/>
                <w:lang w:eastAsia="ru-RU"/>
              </w:rPr>
              <w:t>type</w:t>
            </w:r>
            <w:proofErr w:type="spellEnd"/>
            <w:r w:rsidRPr="00754B51">
              <w:rPr>
                <w:rFonts w:ascii="Palatino Linotype" w:eastAsia="Palatino Linotype" w:hAnsi="Palatino Linotype" w:cs="Palatino Linotype"/>
                <w:sz w:val="16"/>
                <w:szCs w:val="16"/>
                <w:lang w:eastAsia="ru-RU"/>
              </w:rPr>
              <w:t xml:space="preserve"> RR </w:t>
            </w:r>
            <w:proofErr w:type="spellStart"/>
            <w:r w:rsidRPr="00754B51">
              <w:rPr>
                <w:rFonts w:ascii="Palatino Linotype" w:eastAsia="Palatino Linotype" w:hAnsi="Palatino Linotype" w:cs="Palatino Linotype"/>
                <w:sz w:val="16"/>
                <w:szCs w:val="16"/>
                <w:lang w:eastAsia="ru-RU"/>
              </w:rPr>
              <w:t>in</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response</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to</w:t>
            </w:r>
            <w:proofErr w:type="spellEnd"/>
            <w:r w:rsidRPr="00754B51">
              <w:rPr>
                <w:rFonts w:ascii="Palatino Linotype" w:eastAsia="Palatino Linotype" w:hAnsi="Palatino Linotype" w:cs="Palatino Linotype"/>
                <w:sz w:val="16"/>
                <w:szCs w:val="16"/>
                <w:lang w:eastAsia="ru-RU"/>
              </w:rPr>
              <w:t xml:space="preserve"> CK.</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{"citationID":"LIfYhZL7","properties":{"formattedCitation":"[74]","plainCitation":"[74]","noteIndex":0},"citationItems":[{"id":1859,"uris":["http://zotero.org/users/9833672/items/JTEAEIBU"],"itemData":{"id":1859,"type":"article-journal","container-title":"Molecular and Physiological Characterisation of an Insertion Mutant in the ARR21 Putative Response Regulator Gene from Arabidopsis thaliana","DOI":"doi: 10.1055/s-2003-40789","journalAbbreviation":"Plant Biol.","page":"245–254","title":"Molecular and Physiological Characterisation of an Insertion Mutant in the ARR21 Putative Response Regulator Gene from Arabidopsis thaliana","volume":"5","author":[{"family":"Horák","given":"J"},{"family":"Brzobohatý","given":"B"},{"family":"Lexa","given":"M"}],"issued":{"date-parts":[["2003"]]}}}],"schema":"https://github.com/citation-style-language/schema/raw/master/csl-citation.json"}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32</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SCL23</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LOC108848776</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c.97delT|p.Ser33fs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Formation of vascular bundle sheath cells.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{"citationID":"tE5Ev5Vn","properties":{"formattedCitation":"[75]","plainCitation":"[75]","noteIndex":0},"citationItems":[{"id":1935,"uris":["http://zotero.org/users/9833672/items/B88XFAF2"],"itemData":{"id":1935,"type":"article-journal","abstract":"Bundle sheath (BS) cells form a single cell layer surrounding the vascular tissue in leaves. In C3 plants, photosynthesis occurs in both the BS and mesophyll cells, but the BS cells are the major sites of photosynthesis in C4 plants, whereas the mesophyll cells are only involved in CO2 fixation. Because C4 plants are more efficient photosynthetically, introduction of the C4 mechanism into C3 plants is considered a key strategy to improve crop yield. One prerequisite for such C3-to-C4 engineering is the ability to manipulate the number and physiology of the BS cells, but the molecular basis of BS cell-fate specification remains unclear. Here we report that mutations in three GRAS family transcription factors, SHORT-ROOT (SHR), SCARECROW (SCR) and SCARECROW-LIKE 23 (SCL23), affect BS cell fate in Arabidopsis thaliana. SCR and SCL23 are expressed specifically in the BS cells and act redundantly in BS cell-fate specification, but their expression pattern and function diverge at later stages of leaf development. Using ChIP-chip experiments and sugar assays, we show that SCR is primarily involved in sugar transport whereas SCL23 functions in mineral transport. SHR is also essential for BS cell-fate specification, but it is expressed in the central vascular tissue. However, the SHR protein moves into the BS cells, where it directly regulates SCR and SCL23 expression. SHR, SCR and SCL23 homologs are present in many plant species, suggesting that this developmental pathway for BS cell-fate specification is likely to be evolutionarily conserved.","container-title":"The Plant Journal: For Cell and Molecular Biology","DOI":"10.1111/tpj.12470","ISSN":"1365-313X","issue":"2","journalAbbreviation":"Plant J","language":"eng","note":"number: 2\nPMID: 24517883","page":"319-327","source":"PubMed","title":"SCARECROW, SCR-LIKE 23 and SHORT-ROOT control bundle sheath cell fate and function in Arabidopsis thaliana","volume":"78","author":[{"family":"Cui","given":"Hongchang"},{"family":"Kong","given":"Danyu"},{"family":"Liu","given":"Xiuwen"},{"family":"Hao","given":"Yueling"}],"issued":{"date-parts":[["2014",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33</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ERF115-L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LOC108846562</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c.232_235delAGCT|p.Ser78fs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Activation of </w:t>
            </w:r>
            <w:proofErr w:type="spellStart"/>
            <w:r w:rsidRPr="00754B51">
              <w:rPr>
                <w:rFonts w:ascii="Palatino Linotype" w:eastAsia="Palatino Linotype" w:hAnsi="Palatino Linotype" w:cs="Palatino Linotype"/>
                <w:sz w:val="16"/>
                <w:szCs w:val="16"/>
                <w:lang w:val="en-US" w:eastAsia="ru-RU"/>
              </w:rPr>
              <w:t>phytosulfokine</w:t>
            </w:r>
            <w:proofErr w:type="spellEnd"/>
            <w:r w:rsidRPr="00754B51">
              <w:rPr>
                <w:rFonts w:ascii="Palatino Linotype" w:eastAsia="Palatino Linotype" w:hAnsi="Palatino Linotype" w:cs="Palatino Linotype"/>
                <w:sz w:val="16"/>
                <w:szCs w:val="16"/>
                <w:lang w:val="en-US" w:eastAsia="ru-RU"/>
              </w:rPr>
              <w:t xml:space="preserve">; rate-limiting of quiescent </w:t>
            </w:r>
            <w:proofErr w:type="spellStart"/>
            <w:r w:rsidRPr="00754B51">
              <w:rPr>
                <w:rFonts w:ascii="Palatino Linotype" w:eastAsia="Palatino Linotype" w:hAnsi="Palatino Linotype" w:cs="Palatino Linotype"/>
                <w:sz w:val="16"/>
                <w:szCs w:val="16"/>
                <w:lang w:val="en-US" w:eastAsia="ru-RU"/>
              </w:rPr>
              <w:t>centre</w:t>
            </w:r>
            <w:proofErr w:type="spellEnd"/>
            <w:r w:rsidRPr="00754B51">
              <w:rPr>
                <w:rFonts w:ascii="Palatino Linotype" w:eastAsia="Palatino Linotype" w:hAnsi="Palatino Linotype" w:cs="Palatino Linotype"/>
                <w:sz w:val="16"/>
                <w:szCs w:val="16"/>
                <w:lang w:val="en-US" w:eastAsia="ru-RU"/>
              </w:rPr>
              <w:t xml:space="preserve"> cell division, active when surrounding stem cells are damaged.</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{"citationID":"yCu6axJV","properties":{"formattedCitation":"[76]","plainCitation":"[76]","noteIndex":0},"citationItems":[{"id":1934,"uris":["http://zotero.org/users/9833672/items/4JBJ8S4B"],"itemData":{"id":1934,"type":"article-journal","abstract":"Adventitious root initiation (ARI) is a de novo organogenesis program and a key adaptive trait in plants. Several hormones regulate ARI but the underlying genetic architecture that integrates the hormonal crosstalk governing this process remains largely elusive. In this study, we use genetics, genome editing, transcriptomics, hormone profiling and cell biological approaches to demonstrate a crucial role played by the APETALA2/ETHYLENE RESPONSE FACTOR 115 transcription factor. We demonstrate that ERF115 functions as a repressor of ARI by activating the cytokinin (CK) signaling machinery. We also demonstrate that ERF115 is transcriptionally activated by jasmonate (JA), an oxylipin-derived phytohormone, which represses ARI in NINJA-dependent and independent manners. Our data indicate that NINJA-dependent JA signaling in pericycle cells blocks early events of ARI. Altogether, our results reveal a previously unreported molecular network involving cooperative crosstalk between JA and CK machineries that represses ARI.","container-title":"The New Phytologist","DOI":"10.1111/nph.16794","ISSN":"1469-8137","issue":"5","journalAbbreviation":"New Phytol","language":"eng","note":"number: 5\nPMID: 32634250","page":"1611-1626","source":"PubMed","title":"ETHYLENE RESPONSE FACTOR 115 integrates jasmonate and cytokinin signaling machineries to repress adventitious rooting in Arabidopsis","volume":"228","author":[{"family":"Lakehal","given":"Abdellah"},{"family":"Dob","given":"Asma"},{"family":"Rahneshan","given":"Zahra"},{"family":"Novák","given":"Ondřej"},{"family":"Escamez","given":"Sacha"},{"family":"Alallaq","given":"Sanaria"},{"family":"Strnad","given":"Miroslav"},{"family":"Tuominen","given":"Hannele"},{"family":"Bellini","given":"Catherine"}],"issued":{"date-parts":[["2020",12]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34</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bHLH143</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LOC108817725</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c.182_183dupAA|p.Val62fs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Vascular</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development</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{"citationID":"CYDB3SlB","properties":{"formattedCitation":"[77]","plainCitation":"[77]","noteIndex":0},"citationItems":[{"id":1933,"uris":["http://zotero.org/users/9833672/items/GPWKSYTX"],"itemData":{"id":1933,"type":"article-journal","abstract":"Upstream open reading frames (uORFs) are common in eukaryotic transcripts, but those that encode conserved peptides occur in less than 1% of transcripts. The peptides encoded by three plant conserved peptide uORF (CPuORF) families are known to control translation of the downstream ORF in response to a small signal molecule (sucrose, polyamines, and phosphocholine). In flowering plants, transcription factors are statistically over-represented among genes that possess CPuORFs, and in general it appeared that many CPuORF genes also had other regulatory functions, though the significance of this suggestion was uncertain (Hayden and Jorgensen, 2007). Five years later the literature provides much more information on the functions of many CPuORF genes. Here we reassess the functions of 27 known CPuORF gene families and find that 22 of these families play a variety of different regulatory roles, from transcriptional control to protein turnover, and from small signal molecules to signal transduction kinases. Clearly then, there is indeed a strong association of CPuORFs with regulatory genes. In addition, 16 of these families play key roles in a variety of different biological processes. Most strikingly, the core sucrose response network includes three different CPuORFs, creating the potential for sophisticated balancing of the network in response to three different molecular inputs. We propose that the function of most CPuORFs is to modulate translation of a downstream major ORF (mORF) in response to a signal molecule recognized by the conserved peptide and that because the mORFs of CPuORF genes generally encode regulatory proteins, many of them centrally important in the biology of plants, CPuORFs play key roles in balancing such regulatory networks.","container-title":"Frontiers in Plant Science","DOI":"10.3389/fpls.2012.00191","ISSN":"1664-462X","journalAbbreviation":"Front Plant Sci","language":"eng","note":"PMID: 22936940\nPMCID: PMC3426882","page":"191","source":"PubMed","title":"Conserved Peptide Upstream Open Reading Frames are Associated with Regulatory Genes in Angiosperms","volume":"3","author":[{"family":"Jorgensen","given":"Richard A."},{"family":"Dorantes-Acosta","given":"Ana E."}],"issued":{"date-parts":[["2012"]]}}}],"schema":"https://github.com/citation-style-language/schema/raw/master/csl-citation.json"}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35</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MYR1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LOC108815809</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c.291_294delCCCC|p.Pro98fs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Suppresses flowering and organ elongation when light intensity is reduced; affects gibberellin levels.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{"citationID":"EkeSuc6c","properties":{"formattedCitation":"[78]","plainCitation":"[78]","noteIndex":0},"citationItems":[{"id":1932,"uris":["http://zotero.org/users/9833672/items/57RZS63B"],"itemData":{"id":1932,"type":"article-journal","abstract":"Arabidopsis genes MYR1 and MYR2 are regulators of flowering time under low light intensity. These Myb-related genes are expressed as alternative splice variants affected in their coiled-coil and DNA-binding domains. We tested whether alternative splicing could affect dimerization and localization of MYR1 and MYR2, thereby potentially affecting their activity. Using MYR1 as a model for variants within the coiled-coil region, we detected 2 types of homodimers. For MYR2, alternative splicing in the DNA-binding Myb-like domain abolished the ability of MYR2 to dimerize. Alternative splicing in the coiled-coil domain did not affect nuclear localization, as determined by transient expression in tobacco, while alternative splicing in the DNA-binding domain of MYR2 yielded a distinct intranuclear localization pattern that may reflect changes in phosphorylation-dependent protein folding. Thus alternative splicing of these genes may result in changes in dimerization or protein folding resulting in changes in activity and abundance of MYR1 or MYR2 protein.","container-title":"Plant Signaling &amp; Behavior","DOI":"10.4161/psb.27325","ISSN":"1559-2316","issue":"11","journalAbbreviation":"Plant Signal Behav","note":"number: 11\nPMID: 24309816\nPMCID: PMC4091541","page":"e27325","source":"PubMed Central","title":"Alternative splicing of Myb-related genes MYR1 and MYR2 may modulate activities through changes in dimerization, localization, or protein folding","volume":"8","author":[{"family":"Zhao","given":"Chengsong"},{"family":"Beers","given":"Eric P"}],"issued":{"date-parts":[["2013",12,5]]}}}],"schema":"https://github.com/citation-style-language/schema/raw/master/csl-citation.json"}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36</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PHR1-L1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LOC108824019</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c.262_263insTG|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p.Ser88fs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phosphorus deficiency; carbohydrate transport.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{"citationID":"orhbzvt3","properties":{"formattedCitation":"[79]","plainCitation":"[79]","noteIndex":0},"citationItems":[{"id":1931,"uris":["http://zotero.org/users/9833672/items/U5D48UB5"],"itemData":{"id":1931,"type":"article-journal","abstract":"Two transcription factors act redundantly to regulate the transcriptional responses to phosphate starvation at genomic level., When confronted with inorganic phosphate () starvation, plants activate an array of adaptive responses to sustain their growth. These responses, in a large extent, are controlled at the transcriptional level. Arabidopsis (Arabidopsis thaliana) PHOSPHATE RESPONSE1 (PHR1) and its close homolog PHR1-like 1 (PHL1) belong to a 15-member family of MYB-CC transcription factors and are regarded as the key components of the central regulatory system controlling plant transcriptional responses to  starvation. The knockout of PHR1 and PHL1, however, causes only a partial loss of the transcription of  starvation-induced genes, suggesting the existence of other key components in this regulatory system. In this work, we used the transcription of a  starvation-induced acid phosphatase, AtPAP10, to study the molecular mechanism underlying plant transcriptional responses to  starvation. We first identified a DNA sequence on the AtPAP10 promoter that is critical for the transcription of AtPAP10. We then demonstrated that PHL2 and PHL3, two other members of the MYB-CC family, specifically bind to this DNA sequence and activate the transcription of AtPAP10. Unlike PHR1 and PHL1, the transcription and protein accumulation of PHL2 and PHL3 are upregulated by  starvation. RNA-sequencing analyses indicated that the transcription of most  starvation-induced genes is impaired in the phl2 mutant, indicating that PHL2 is also a key component of the central regulatory system. Finally, we showed that PHL2, and perhaps also PHL3, acts redundantly with PHR1 to regulate plant transcriptional response to  starvation.","container-title":"Plant Physiology","DOI":"10.1104/pp.15.01336","ISSN":"0032-0889","issue":"1","journalAbbreviation":"Plant Physiol","note":"number: 1\nPMID: 26586833\nPMCID: PMC4704584","page":"499-514","source":"PubMed Central","title":"Arabidopsis PHL2 and PHR1 Act Redundantly as the Key Components of the Central Regulatory System Controlling Transcriptional Responses to Phosphate Starvation1","volume":"170","author":[{"family":"Sun","given":"Lichao"},{"family":"Song","given":"Li"},{"family":"Zhang","given":"Ye"},{"family":"Zheng","given":"Zai"},{"family":"Liu","given":"Dong"}],"issued":{"date-parts":[["2016",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37</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CDF2</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LOC108849692</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c.378delA|p.Glu127fs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Control of photoperiodic flowering response through repression of </w:t>
            </w:r>
            <w:r w:rsidRPr="00754B51">
              <w:rPr>
                <w:rFonts w:ascii="Palatino Linotype" w:eastAsia="Palatino Linotype" w:hAnsi="Palatino Linotype" w:cs="Palatino Linotype"/>
                <w:i/>
                <w:sz w:val="16"/>
                <w:szCs w:val="16"/>
                <w:lang w:val="en-US" w:eastAsia="ru-RU"/>
              </w:rPr>
              <w:t>CONSTANS</w:t>
            </w:r>
            <w:r w:rsidRPr="00754B51">
              <w:rPr>
                <w:rFonts w:ascii="Palatino Linotype" w:eastAsia="Palatino Linotype" w:hAnsi="Palatino Linotype" w:cs="Palatino Linotype"/>
                <w:sz w:val="16"/>
                <w:szCs w:val="16"/>
                <w:lang w:val="en-US" w:eastAsia="ru-RU"/>
              </w:rPr>
              <w: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{"citationID":"rIDpIiBR","properties":{"formattedCitation":"[80]","plainCitation":"[80]","noteIndex":0},"citationItems":[{"id":1930,"uris":["http://zotero.org/users/9833672/items/SAHZZYCS"],"itemData":{"id":1930,"type":"article-journal","abstract":"The precise regulation of microRNA (miRNA) transcription and processing is important for eukaryotic development. Plant miRNAs are first transcribed as stem-loop primary miRNAs (pri-miRNAs) by RNA polymerase II,then cleaved in the nucleus into mature miRNAs by Dicer-like 1 (DCL1). We identified a cycling DOF transcription factor, CDF2, which interacts with DCL1 and regulates the accumulation of a population of miRNAs. CDF2 binds directly to the promoters of some miRNAs and works as a transcription activator or repressor for these miRNA genes. CDF2 binds preferentially to the pri-miRNAs regulated by itself and affects DCL1-mediated processing of these pri-miRNAs. Genetically, CDF2 works in the same pathway as miR156 or miR172 to control flowering. We conclude that CDF2 regulates a group of pri-miRNAs at both the transcriptional and posttranscriptional levels to maintain proper levels of their mature miRNAs to control plant development., CDFs were identified to play roles in the blue light signaling. This study reveals that CDF2 acts as a transcriptional activator or repressor of a group of microRNA (miRNA) genes and binds to the pri-miRNA transcripts. This study demonstrates that CDF2 interacts with the Dicer-like 1 (DCL1) complex and suppresses the processing of primary miRNAs. Genetic analysis shows that CDF2 works in the same pathway as miR156 or miR172 to control flowering. The finding that the miRNA accumulation is regulated by a factor at both the transcriptional and posttranscriptional levels may have a broad impact on the miRNA biogenesis field. The regulation of miRNA abundance by CDF2 sheds light on the roles of miRNAs in the light signaling pathways.","container-title":"PLoS Genetics","DOI":"10.1371/journal.pgen.1005598","ISSN":"1553-7390","issue":"10","journalAbbreviation":"PLoS Genet","note":"number: 10\nPMID: 26473486\nPMCID: PMC4608766","page":"e1005598","source":"PubMed Central","title":"The Roles of Arabidopsis CDF2 in Transcriptional and Posttranscriptional Regulation of Primary MicroRNAs","volume":"11","author":[{"family":"Sun","given":"Zhenfei"},{"family":"Guo","given":"Tongtong"},{"family":"Liu","given":"Yin"},{"family":"Liu","given":"Qi"},{"family":"Fang","given":"Yuda"}],"issued":{"date-parts":[["2015",10,16]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lastRenderedPageBreak/>
              <w:t>38</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ARR10</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85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LOC108830348</w:t>
            </w:r>
          </w:p>
        </w:tc>
        <w:tc>
          <w:tcPr>
            <w:tcW w:w="286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c.865_866delGC|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p.Ala289fs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Activation of RR A-type in response to CK. Callus formation, maintenance of SAM identity, primary root development, regulation of anthocyanin metabolism, chlorophyll biosynthesis, seed growth; response to water deficit.</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{"citationID":"5D3sZCWL","properties":{"formattedCitation":"[81]","plainCitation":"[81]","noteIndex":0},"citationItems":[{"id":1929,"uris":["http://zotero.org/users/9833672/items/S3VWHV8A"],"itemData":{"id":1929,"type":"article-journal","abstract":"The plant hormone cytokinin affects a diverse array of growth and development processes and responses to the environment. How a signaling molecule mediates such a diverse array of outputs and how these response pathways are integrated with other inputs remain fundamental questions in plant biology. To this end, we characterized the transcriptional network initiated by the type-B ARABIDOPSIS RESPONSE REGULATORs (ARRs) that mediate the cytokinin primary response, making use of chromatin immunoprecipitation sequencing (ChIP-seq), protein-binding microarrays, and transcriptomic approaches. By ectopic overexpression of ARR10, Arabidopsis lines hypersensitive to cytokinin were generated and used to clarify the role of cytokinin in regulation of various physiological responses. ChIP-seq was used to identify the cytokinin-dependent targets for ARR10, thereby defining a crucial link between the cytokinin primary-response pathway and the transcriptional changes that mediate physiological responses to this phytohormone. Binding of ARR10 was induced by cytokinin with binding sites enriched toward the transcriptional start sites for both induced and repressed genes. Three type-B ARR DNA-binding motifs, determined by use of protein-binding microarrays, were enriched at ARR10 binding sites, confirming their physiological relevance. WUSCHEL was identified as a direct target of ARR10, with its cytokinin</w:instrText>
            </w:r>
            <w:r w:rsidRPr="00754B51">
              <w:rPr>
                <w:rFonts w:ascii="Palatino Linotype" w:eastAsia="Palatino Linotype" w:hAnsi="Palatino Linotype" w:cs="Palatino Linotype"/>
                <w:sz w:val="16"/>
                <w:szCs w:val="16"/>
                <w:lang w:val="en-US" w:eastAsia="ru-RU"/>
              </w:rPr>
              <w:instrText xml:space="preserve">-enhanced expression resulting in enhanced shooting in tissue culture. Results from our analyses shed light on the physiological role of the type-B ARRs in regulating the cytokinin response, mechanism of type-B ARR activation, and basis by which cytokinin regulates diverse aspects of growth and development as well as responses to biotic and abiotic factors.","container-title":"Proceedings of the National Academy of Sciences of the United States of America","DOI":"10.1073/pnas.1620749114","ISSN":"1091-6490","issue":"29","journalAbbreviation":"Proc Natl Acad Sci U S A","language":"eng","note":"number: 29\nPMID: 28673986\nPMCID: PMC5530654","page":"E5995-E6004","source":"PubMed","title":"Cytokinin induces genome-wide binding of the type-B response regulator ARR10 to regulate growth and development in Arabidopsis","volume":"114","author":[{"family":"Zubo","given":"Yan O."},{"family":"Blakley","given":"Ivory Clabaugh"},{"family":"Yamburenko","given":"Maria V."},{"family":"Worthen","given":"Jennifer M."},{"family":"Street","given":"Ian H."},{"family":"Franco-Zorrilla","given":"José M."},{"family":"Zhang","given":"Wenjing"},{"family":"Hill","given":"Kristine"},{"family":"Raines","given":"Tracy"},{"family":"Solano","given":"Roberto"},{"family":"Kieber","given":"Joseph J."},{"family":"Loraine","given":"Ann E."},{"family":"Schaller","given":"G. Eric"}],"issued":{"date-parts":[["2017",7,18]]}}}],"schema":"https://github.com/citation-style-language/schema/raw/master/csl-citation.json"}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[81]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39</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bZIP19</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8</w:t>
            </w:r>
          </w:p>
        </w:tc>
        <w:tc>
          <w:tcPr>
            <w:tcW w:w="185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LOC108818944</w:t>
            </w:r>
          </w:p>
        </w:tc>
        <w:tc>
          <w:tcPr>
            <w:tcW w:w="286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c.763_764dupGA|p.Asp255fs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Promotes expression of the zinc transporters ZIP3, ZIP4, ZIP5 and ZIP9 during growth under zinc-deficient conditions.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{"citationID":"KOu9oAVk","properties":{"formattedCitation":"[82]","plainCitation":"[82]","noteIndex":0},"citationItems":[{"id":1928,"uris":["http://zotero.org/users/9833672/items/5F6ILJZE"],"itemData":{"id":1928,"type":"article-journal","abstract":"All living organisms require zinc as an essential micronutrient. Maintaining appropriate intracellular zinc supply, and avoiding deficiency or toxic excess, requires a tight regulation of zinc homeostasis. In Arabidopsis, bZIP19 and bZIP23 (basic-leucine zipper) transcription factors are the central regulators of the zinc deficiency response. Their targets include members of the ZIP (Zrt/Irt-like Protein) transporter family, involved in cellular zinc uptake, which are up-regulated at zinc deficiency. However, the mechanisms by which these transcription factors are regulated by cellular zinc status are not yet known. Here, to further our insight, we took advantage of the zinc deficiency hypersensitive phenotype of the bzip19 bzip23 double mutant, and used it as background to produce complementation lines of each Arabidopsis F-bZIP transcription factor, including bZIP24. On these lines, we performed complementation and localization studies, analyzed the transcript level of a subset of putative target genes, and performed elemental tissue profiling. We find evidence supporting that the zinc-dependent activity of bZIP19 and bZIP23 is modulated by zinc at protein level, in the nucleus, where cellular zinc sufficiency represses their activity and zinc deficiency is required. In addition, we show that these two transcription factors are functionally redundant to a large extent, and that differential tissue-specific expression patterns might, at least partly, explain distinct regulatory activities. Finally, we show that bZIP24 does not play a central role in the Zn deficiency response. Overall, we provide novel information that advances our understanding of the regulatory activity of bZIP19 and bZIP23.","container-title":"Frontiers in Plant Science","DOI":"10.3389/fpls.2018.01955","ISSN":"1664-462X","journalAbbreviation":"Front Plant Sci","language":"eng","note":"PMID: 30723487\nPMCID: PMC6349776","page":"1955","source":"PubMed","title":"The Arabidopsis bZIP19 and bZIP23 Activity Requires Zinc Deficiency - Insight on Regulation From Complementation Lines","volume":"9","author":[{"family":"Lilay","given":"Grmay H."},{"family":"Castro","given":"Pedro Humberto"},{"family":"Campilho","given":"Ana"},{"family":"Assunção","given":"Ana G. L."}],"issued":{"date-parts":[["2018"]]}}}],"schema":"https://github.com/citation-style-language/schema/raw/master/csl-citation.json"}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i/>
                <w:color w:val="2F4A8B"/>
                <w:sz w:val="16"/>
                <w:szCs w:val="16"/>
                <w:u w:val="single"/>
                <w:lang w:val="en-US" w:eastAsia="ru-RU"/>
              </w:rPr>
            </w:pPr>
            <w:r w:rsidRPr="00754B51">
              <w:rPr>
                <w:rFonts w:ascii="Palatino Linotype" w:eastAsia="Palatino Linotype" w:hAnsi="Palatino Linotype" w:cs="Palatino Linotype"/>
                <w:b/>
                <w:i/>
                <w:sz w:val="16"/>
                <w:szCs w:val="16"/>
                <w:lang w:val="en-US" w:eastAsia="ru-RU"/>
              </w:rPr>
              <w:t>DIV</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LOC108840441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c.38_39dupTG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|p.Lys14fs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Suppression of ABA biosynthesis; response to gibberellins; response to salicylic acid; response to salinity.</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{"citationID":"mzW3fFBi","properties":{"formattedCitation":"[83]","plainCitation":"[83]","noteIndex":0},"citationItems":[{"id":1927,"uris":["http://zotero.org/users/9833672/items/TZUWD8Y4"],"itemData":{"id":1927,"type":"article-journal","abstract":"AtDIV2 integrates ABA signaling to negatively regulate salt stress in Arabidopsis. AmDIV (DIVARICATA) is a functional MYB transcription factor (TF) that regulates ventral identity during floral development in Antirrhinum. There are six members of DIV homologs in Arabidopsis; however, the functions of these proteins are largely unknown. Here, we characterized an R-R-type MYB TF AtDIV2, which is involved in salt stress responses and abscisic acid (ABA) signaling. Although universally expressed in tissues, the nuclear-localized AtDIV2 appeared not to be involved in seedling development processes. However, upon exposure to salt stress and exogenous ABA, the transcripts of AtDIV2 are markedly increased in wild-type (Wt) plants. The loss-of-function mutant div2 displayed much more tolerance to salt stress, and several salt-responsive genes were up-regulated. In addition, the div2 mutant showed higher sensitivity to ABA during seed germination. And the germination variance between the Wt and div2 mutant cannot be rectified by treatment with both ABA and sodium tungstate at the same time. ELISA results showed that the endogenous ABA content in the div2 mutant is clearly increased than that in Wt plants. Furthermore, the transcriptional expressions of several ABA-related genes, including ABA1 and ABI3, were elevated. Taken together, our results suggest that the R-R-type MYB TF AtDIV2 plays negative roles in salt stress and is required for ABA signaling in Arabidopsis.","container-title":"Plant Cell Reports","DOI":"10.1007/s00299-018-2321-6","ISSN":"1432-203X","issue":"11","journalAbbreviation":"Plant Cell Rep","language":"eng","note":"number: 11\nPMID: 30014159","page":"1499-1511","source":"PubMed","title":"AtDIV2, an R-R-type MYB transcription factor of Arabidopsis, negatively regulates salt stress by modulating ABA signaling","volume":"37","author":[{"family":"Fang","given":"Qing"},{"family":"Wang","given":"Qiong"},{"family":"Mao","given":"Hui"},{"family":"Xu","given":"Jing"},{"family":"Wang","given":"Ying"},{"family":"Hu","given":"Hao"},{"family":"He","given":"Shuai"},{"family":"Tu","given":"Junchu"},{"family":"Cheng","given":"Chao"},{"family":"Tian","given":"Guozheng"},{"family":"Wang","given":"Xianqiang"},{"family":"Liu","given":"Xiaopeng"},{"family":"Zhang","given":"Chi"},{"family":"Luo","given":"Keming"}],"issued":{"date-parts":[["2018",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AGL61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LOC108808389</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c.278_279delTG|p.Met93fs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Control of cell differentiation during female gametophyte development.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{"citationID":"EOt2320Z","properties":{"formattedCitation":"[84]","plainCitation":"[84]","noteIndex":0},"citationItems":[{"id":1926,"uris":["http://zotero.org/users/9833672/items/3VWM76ZH"],"itemData":{"id":1926,"type":"article-journal","abstract":"The central cell of the female gametophyte plays a role in pollen tube guidance and in regulating the initiation of endosperm development. Following fertilization, the central cell gives rise to the seed's endosperm, which nourishes the developing embryo within the seed. The molecular mechanisms controlling specification and differentiation of the central cell are poorly understood. We identified AGL61 in a screen for transcription factor genes expressed in the female gametophyte. AGL61 encodes a Type I MADS domain protein, which likely functions as a transcription factor. Consistent with this, an AGL61-green fluorescent protein fusion protein is localized to the nucleus. In the context of the ovule and seed, AGL61 is expressed exclusively in the central cell and early endosperm. agl61 female gametophytes are affected in the central cell specifically. The morphological defects include an overall reduction in size of the central cell and a reduced or absent central cell vacuole. When fertilized with wild-type pollen, agl61 central cells fail to give rise to endosperm. In addition, synergid- and antipodal-expressed genes are ectopically expressed in agl61 central cells. The expression pattern and mutant phenotype of AGL61 are similar to those of AGL80, suggesting that AGL61 may function as a heterodimer with AGL80 within the central cell; consistent with this, AGL61 and AGL80 interact in yeast two-hybrid assays. Together, these data suggest that AGL61 functions as a transcription factor and controls the expression of downstream genes during central cell development.","container-title":"Plant Physiology","DOI":"10.1104/pp.108.119404","ISSN":"0032-0889","issue":"1","journalAbbreviation":"Plant Physiol","language":"eng","note":"number: 1\nPMID: 18599653\nPMCID: PMC2528130","page":"259-268","source":"PubMed","title":"AGL61 interacts with AGL80 and is required for central cell development in Arabidopsis","volume":"148","author":[{"family":"Steffen","given":"Joshua G."},{"family":"Kang","given":"Il-Ho"},{"family":"Portereiko","given":"Michael F."},{"family":"Lloyd","given":"Alan"},{"family":"Drews","given":"Gary N."}],"issued":{"date-parts":[["2008",9]]}}}],"schema":"https://github.com/citation-style-language/schema/raw/master/csl-citation.json"}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42</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AGL29</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LOC108850931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c.1dupA|p.Met1fs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Pollen development.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{"citationID":"qc8nVqx6","properties":{"formattedCitation":"[85]","plainCitation":"[85]","noteIndex":0},"citationItems":[{"id":1925,"uris":["http://zotero.org/users/9833672/items/V8BLP76L"],"itemData":{"id":1925,"type":"article-journal","abstract":"Pollen transcript profiling of mutants defective in MADS-domain MIKC* protein complexes suggests they control a transcriptional network directing cellular differentiation during pollen maturation.","container-title":"Genome Biology","DOI":"10.1186/gb-2007-8-11-r249","ISSN":"1465-6906","issue":"11","journalAbbreviation":"Genome Biol","note":"number: 11\nPMID: 18034896\nPMCID: PMC2258202","page":"R249","source":"PubMed Central","title":"MADS-complexes regulate transcriptome dynamics during pollen maturation","volume":"8","author":[{"family":"Verelst","given":"Wim"},{"family":"Twell","given":"David"},{"family":"Folter","given":"Stefan","non-dropping-particle":"de"},{"family":"Immink","given":"Richard"},{"family":"Saedler","given":"Heinz"},{"family":"Münster","given":"Thomas"}],"issued":{"date-parts":[["2007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43</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bHLH67</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LOC108860648</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c.632_633insT|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p.Thr212fs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Adaptation to cold.</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{"citationID":"qK1qNShc","properties":{"formattedCitation":"[86]","plainCitation":"[86]","noteIndex":0},"citationItems":[{"id":1924,"uris":["http://zotero.org/users/9833672/items/I23FH6L8"],"itemData":{"id":1924,"type":"article-journal","abstract":"Buckwheat is an important minor crop with pharmaceutical functions due to rutin enrichment in the seed. Seeds of common buckwheat cultivars (Fagopyrum esculentum, Fes) usually have much lower rutin content than tartary buckwheat (F. tartaricum, Ft). We previously found a wild species of common buckwheat (F. esculentum ssp. ancestrale, Fea), with seeds that are high in rutin, similar to Ft. In the present study, we investigated the mechanism by which rutin production varies among different buckwheat cultivars, Fea, a Ft variety (Xide) and a Fes variety (No.2 Pingqiao) using RNA sequencing of filling stage seeds. Sequencing data generated approximately 43.78-Gb of clean bases, all these data were pooled together and assembled 180,568 transcripts, and 109,952 unigenes. We established seed gene expression profiles of each buckwheat sample and assessed genes involved in flavonoid biosynthesis, storage proteins production, CYP450 family, starch and sucrose metabolism, and transcription factors. Differentially expressed genes between Fea and Fes were further analyzed due to their close relationship than with Ft. Expression levels of flavonoid biosynthesis gene FLS1 (Flavonol synthase 1) were similar in Fea and Ft, and much higher than in Fes, which was validated by qRT-PCR. This suggests that FLS1 trans</w:instrText>
            </w:r>
            <w:r w:rsidRPr="00754B51">
              <w:rPr>
                <w:rFonts w:ascii="Palatino Linotype" w:eastAsia="Palatino Linotype" w:hAnsi="Palatino Linotype" w:cs="Palatino Linotype"/>
                <w:sz w:val="16"/>
                <w:szCs w:val="16"/>
                <w:lang w:val="en-US" w:eastAsia="ru-RU"/>
              </w:rPr>
              <w:instrText xml:space="preserve">cript levels may be associated with rutin accumulation in filling stage seeds of buckwheat species. Further, we explored transcription factors by iTAK, and multiple gene families were identified as being involved in the coordinate regulation of metabolism and development. Our extensive transcriptomic data sets provide a complete description of metabolically related genes that are differentially expressed in filling stage buckwheat seeds and suggests that FLS1 is a key controller of rutin synthesis in buckwheat species. FLS1 can effectively convert dihydroflavonoids into flavonol products. These findings provide a basis for further studies of flavonoid biosynthesis in buckwheat breeding to help accelerate flavonoid metabolic engineering that would increase rutin content in cultivars of common buckwheat.","container-title":"PLoS ONE","DOI":"10.1371/journal.pone.0189672","ISSN":"1932-6203","issue":"12","journalAbbreviation":"PLoS One","note":"number: 12\nPMID: 29261741\nPMCID: PMC5738128","page":"e0189672","source":"PubMed Central","title":"Transcriptome analysis of filling stage seeds among three buckwheat species with emphasis on rutin accumulation","volume":"12","author":[{"family":"Gao","given":"Jia"},{"family":"Wang","given":"Tingting"},{"family":"Liu","given":"Minxuan"},{"family":"Liu","given":"Jing"},{"family":"Zhang","given":"Zongwen"}],"issued":{"date-parts":[["2017",12,20]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[86]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44</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HDG4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8</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LOC108820851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c.1189_1190delGC|p.Ala397fs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Identity of </w:t>
            </w:r>
            <w:proofErr w:type="spellStart"/>
            <w:r w:rsidRPr="00754B51">
              <w:rPr>
                <w:rFonts w:ascii="Palatino Linotype" w:eastAsia="Palatino Linotype" w:hAnsi="Palatino Linotype" w:cs="Palatino Linotype"/>
                <w:sz w:val="16"/>
                <w:szCs w:val="16"/>
                <w:lang w:val="en-US" w:eastAsia="ru-RU"/>
              </w:rPr>
              <w:t>subepidermal</w:t>
            </w:r>
            <w:proofErr w:type="spellEnd"/>
            <w:r w:rsidRPr="00754B51">
              <w:rPr>
                <w:rFonts w:ascii="Palatino Linotype" w:eastAsia="Palatino Linotype" w:hAnsi="Palatino Linotype" w:cs="Palatino Linotype"/>
                <w:sz w:val="16"/>
                <w:szCs w:val="16"/>
                <w:lang w:val="en-US" w:eastAsia="ru-RU"/>
              </w:rPr>
              <w:t xml:space="preserve"> cells during postembryonic development.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{"citationID":"Segj6250","properties":{"formattedCitation":"[87]","plainCitation":"[87]","noteIndex":0},"citationItems":[{"id":1923,"uris":["http://zotero.org/users/9833672/items/28CRJKHD"],"itemData":{"id":1923,"type":"article-journal","abstract":"The Arabidopsis (Arabidopsis thaliana) genome contains 16 genes belonging to the class IV homeodomain-Leucine zipper gene family. These include GLABRA2, ANTHOCYANINLESS2, FWA, ARABIDOPSIS THALIANA MERISTEM LAYER1 (ATML1), and PROTODERMAL FACTOR2 (PDF2). Our previous study revealed that atml1 pdf2 double mutants have severe defects in the shoot epidermal cell differentiation. Here, we have characterized additional members of this gene family, which we designated HOMEODOMAIN GLABROUS1 (HDG1) through HDG12. Analyses of transgenic Arabidopsis plants carrying the gene-specific promoter fused to the bacterial beta-glucuronidase reporter gene revealed that some of the promoters have high activities in the epidermal layer of the shoot apical meristem and developing shoot organs, while others are temporarily active during reproductive organ development. Expression profiles of highly conserved paralogous gene pairs within the family were found to be not necessarily overlapping. Analyses of T-DNA insertion mutants of these HDG genes revealed that all mutants except hdg11 alleles exhibit no abnormal phenotypes. hdg11 mutants show excess branching of the trichome. This phenotype is enhanced in hdg11 hdg12 double mutants. Double mutants were constructed for other paralogous gene pairs and genes within the same subfamily. However, novel phenotypes were observed only for hdg3 atml1 and hdg3 pdf2 mutants that both exhibited defects in cotyledon development. These observations suggest that some of the class IV homeodomain-Leucine zipper members act redundantly with other members of the family during various aspects of cell differentiation. DNA-binding sites were determined for two of the family members using polymerase chain reaction-assisted DNA selection from random oligonucleotides with their recombinant proteins. The binding sites were found to be similar to those previously identified for ATML1 and PDF2, which correspond to the pseudopalindromic sequence 5'-GCATTAAATGC-3' as the preferential binding site.","container-title":"Plant Physiology","DOI":"10.1104/pp.106.077388","ISSN":"0032-0889","issue":"4","journalAbbreviation":"Plant Physiol","language":"eng","note":"number: 4\nPMID: 16778018\nPMCID: PMC1533922","page":"1363-1375","source":"PubMed","title":"Characterization of the class IV homeodomain-Leucine Zipper gene family in Arabidopsis","volume":"141","author":[{"family":"Nakamura","given":"Miyuki"},{"family":"Katsumata","given":"Hiroshi"},{"family":"Abe","given":"Mitsutomo"},{"family":"Yabe","given":"Naoto"},{"family":"Komeda","given":"Yoshibumi"},{"family":"Yamamoto","given":"Kotaro T."},{"family":"Takahashi","given":"Taku"}],"issued":{"date-parts":[["2006",8]]}}}],"schema":"https://github.com/citation-style-language/schema/raw/master/csl-citation.json"}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45</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SCL3</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8</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LOC130499224</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c.100delA|p.Ile34fs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gibberellins.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{"citationID":"l5OQzqOl","properties":{"formattedCitation":"[88]","plainCitation":"[88]","noteIndex":0},"citationItems":[{"id":1922,"uris":["http://zotero.org/users/9833672/items/7QE78RUQ"],"itemData":{"id":1922,"type":"article-journal","abstract":"The diterpenoid phytohormone gibberellin (GA) controls diverse developmental processes throughout the plant life cycle. DELLA proteins are master growth repressors that function immediately downstream of the GA receptor to inhibit GA signaling. By doing so, DELLAs also play pivotal roles as integrators of internal developmental signals from multiple hormone pathways and external cues. DELLAs are likely nuclear transcriptional regulators, which interact with other transcription factors to modulate expression of GA-responsive genes. DELLAs are also involved in maintaining GA homeostasis through feedback up-regulating expression of GA biosynthesis and receptor genes. However, the molecular mechanisms by which DELLAs restrict growth and development are largely unknown. This study reveals an important step of the mechanism. Previous microarray studies identified scarecrow-like 3 (SCL3) as a direct target gene of DELLA in Arabidopsis seedlings. SCL3 expression is induced by DELLA and repressed by GA. Unexpectedly, a scl3 null mutant displays reduced GA responses and elevated expression of GA biosynthesis genes during seed germination and seedling growth, indicating that SCL3 functions as a positive regulator of GA signaling. SCL3 seems to act as an attenuator of DELLA proteins. Transient expression, ChIP, and co-IP studies show that SCL3 autoregulates its own transcription by directly interacting with DELLA. Our data further show that SCL3 and DELLA antagonize each other in controlling both downstream GA responses and upstream GA biosynthetic genes. This work is beginning to shed light on how this complex regulatory network achieves GA homeostasis and controls GA-mediated growth and development in the plant.","container-title":"Proceedings of the National Academy of Sciences of the United States of America","DOI":"10.1073/pnas.1012232108","ISSN":"1091-6490","issue":"5","journalAbbreviation":"Proc Natl Acad Sci U S A","language":"eng","note":"number: 5\nPMID: 21245327\nPMCID: PMC3033277","page":"2160-2165","source":"PubMed","title":"Scarecrow-like 3 promotes gibberellin signaling by antagonizing master growth repressor DELLA in Arabidopsis","volume":"108","author":[{"family":"Zhang","given":"Zhong-Lin"},{"family":"Ogawa","given":"Mikihiro"},{"family":"Fleet","given":"Christine M."},{"family":"Zentella","given":"Rodolfo"},{"family":"Hu","given":"Jianhong"},{"family":"Heo","given":"Jung-Ok"},{"family":"Lim","given":"Jun"},{"family":"Kamiya","given":"Yuji"},{"family":"Yamaguchi","given":"Shinjiro"},{"family":"Sun","given":"Tai-ping"}],"issued":{"date-parts":[["2011",2,1]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46</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AGL24</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85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LOC108852002</w:t>
            </w:r>
          </w:p>
        </w:tc>
        <w:tc>
          <w:tcPr>
            <w:tcW w:w="286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c.246_247insC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|p.Tyr83fs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Transition to flowering in response to </w:t>
            </w:r>
            <w:proofErr w:type="spellStart"/>
            <w:r w:rsidRPr="00754B51">
              <w:rPr>
                <w:rFonts w:ascii="Palatino Linotype" w:eastAsia="Palatino Linotype" w:hAnsi="Palatino Linotype" w:cs="Palatino Linotype"/>
                <w:sz w:val="16"/>
                <w:szCs w:val="16"/>
                <w:lang w:val="en-US" w:eastAsia="ru-RU"/>
              </w:rPr>
              <w:t>jarrowisation</w:t>
            </w:r>
            <w:proofErr w:type="spellEnd"/>
            <w:r w:rsidRPr="00754B51">
              <w:rPr>
                <w:rFonts w:ascii="Palatino Linotype" w:eastAsia="Palatino Linotype" w:hAnsi="Palatino Linotype" w:cs="Palatino Linotype"/>
                <w:sz w:val="16"/>
                <w:szCs w:val="16"/>
                <w:lang w:val="en-US" w:eastAsia="ru-RU"/>
              </w:rPr>
              <w:t>; determination of inflorescence fate in apical meristems; signal transduction via receptor-like kinases. Upon binding to SOC1, mediates the effect of gibberellins on flowering under short-day conditions and regulates LFY expression.</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{"citationID":"uTv2YnA8","properties":{"formattedCitation":"[89]","plainCitation":"[89]","noteIndex":0},"citationItems":[{"id":1921,"uris":["http://zotero.org/users/9833672/items/XRKDY8TL"],"itemData":{"id":1921,"type":"article-journal","abstract":"Arabidopsis plants flower in response to long days (LDs). Exposure of leaves to inductive day lengths activates expression of FLOWERING LOCUS T (FT) protein which moves to the shoot apical meristem (SAM) to induce developmental reprogramming. SUPPRESSOR OF OVEREXPRESSION OF CONSTANS 1 (SOC1) and FRUITFULL (FUL) are induced by FT at the apex. We previously screened the SAM for mRNAs of genes required to promote the floral transition in response to photoperiod, and conducted detailed expression and functional analyses on several putative candidates. Here, we show that expression of AGAMOUS-LIKE 24 (AGL24) is detected at the SAM under SD conditions and increases upon exposure to LDs. Mutations in AGL24 further delay flowering of a soc1 ful double mutant, suggesting that flowering is controlled by AGL24 partly independently of SOC1 and FUL.","container-title":"Plant Signaling &amp; Behavior","DOI":"10.4161/psb.21552","ISSN":"1559-2316","issue":"10","journalAbbreviation":"Plant Signal Behav","note":"number: 10\nPMID: 22902690\nPMCID: PMC3493406","page":"1251-1254","source":"PubMed Central","title":"AGL24 acts in concert with SOC1 and FUL during Arabidopsis floral transition","volume":"7","author":[{"family":"Torti","given":"Stefano"},{"family":"Fornara","given":"Fabio"}],"issued":{"date-parts":[["2012",10,1]]}}}],"schema":"https://github.com/citation-style-language/schema/raw/master/csl-citation.json"}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[89]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47</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bHLH74-L</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85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LOC108856918</w:t>
            </w:r>
          </w:p>
        </w:tc>
        <w:tc>
          <w:tcPr>
            <w:tcW w:w="286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c.1020delT|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p.Tyr340fs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Cell elongation; binds to the chromatin region of FT, which promotes its expression and flowering in response to blue light. A component of miR396a -bHLH74 module that regulates root formation in </w:t>
            </w:r>
            <w:r w:rsidRPr="00754B51">
              <w:rPr>
                <w:rFonts w:ascii="Palatino Linotype" w:eastAsia="Palatino Linotype" w:hAnsi="Palatino Linotype" w:cs="Palatino Linotype"/>
                <w:i/>
                <w:sz w:val="16"/>
                <w:szCs w:val="16"/>
                <w:lang w:val="en-US" w:eastAsia="ru-RU"/>
              </w:rPr>
              <w:t>Arabidopsis</w:t>
            </w:r>
            <w:r w:rsidRPr="00754B51">
              <w:rPr>
                <w:rFonts w:ascii="Palatino Linotype" w:eastAsia="Palatino Linotype" w:hAnsi="Palatino Linotype" w:cs="Palatino Linotype"/>
                <w:sz w:val="16"/>
                <w:szCs w:val="16"/>
                <w:lang w:val="en-US" w:eastAsia="ru-RU"/>
              </w:rPr>
              <w:t xml:space="preserve"> seedlings.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{"citationID":"x903mCUg","properties":{"formattedCitation":"[90]","plainCitation":"[90]","noteIndex":0},"citationItems":[{"id":1920,"uris":["http://zotero.org/users/9833672/items/5XIWXH4G"],"itemData":{"id":1920,"type":"article-journal","abstract":"miR396 targets seven GROWTH-REGULATING FACTOR (GRF) genes and the BASIC HELIX-LOOP-HELIX (bHLH) TRANSCRIPTION FACTOR 74 gene (bHLH74) in Arabidopsis. Previous research revealed that the miR396 target module regulates cell proliferation and plays a critical role in leaf development. However, no additional biological functions of miR396 have been investigated in detail. In this study, T-DNA insertion mutants and transgenic plants with altered levels of miR396 or its target genes were used to characterize the regulatory role of miR396 in root development. We found that AtMIR396a was the predominant source for miR396 accumulation in the roots of seedlings, and that the mir396a-1 mutant had longer roots than wild-type seedlings. Overexpression of AtMIR396a decreased the transcript levels of target genes such as GRF genes and bHLH74, and resulted in a shorter root phenotype. Furthermore, the bhlh74-1 mutant had shorter roots, whereas overexpression of an miR396-resistant form of bHLH74 (mbHLH74) had an enhanced root growth phenotype. Moreover, MIR396a regulated root growth by affecting the elongation zone. Taken together, these data indicate that miR396a-mediated bHLH74 repression helps regulate root growth in Arabidopsis seedlings.","container-title":"Plant &amp; Cell Physiology","DOI":"10.1093/pcp/pcu058","ISSN":"1471-9053","issue":"7","journalAbbreviation":"Plant Cell Physiol","language":"eng","note":"number: 7\nPMID: 24793750","page":"1343-1353","source":"PubMed","title":"miR396a-Mediated basic helix-loop-helix transcription factor bHLH74 repression acts as a regulator for root growth in Arabidopsis seedlings","volume":"55","author":[{"family":"Bao","given":"Maolin"},{"family":"Bian","given":"Hongwu"},{"family":"Zha","given":"Yulong"},{"family":"Li","given":"Fengyun"},{"family":"Sun","given":"Yuzhe"},{"family":"Bai","given":"Bin"},{"family":"Chen","given":"Zhehao"},{"family":"Wang","given":"Junhui"},{"family":"Zhu","given":"Muyuan"},{"family":"Han","given":"Ning"}],"issued":{"date-parts":[["2014",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48</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AIL1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LOC130498742</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c.1039_1040insTT|p.Tyr347fs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Control of shoot and flower meristems; flowering initiation; seed pod development; flower organ identity; cell proliferation; regulation of gene expression by stress factors.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{"citationID":"1fHjhoyV","properties":{"formattedCitation":"[91]","plainCitation":"[91]","noteIndex":0},"citationItems":[{"id":1761,"uris":["http://zotero.org/users/9833672/items/2APLLSWX"],"itemData":{"id":1761,"type":"article-journal","abstract":"Members of the AINTEGUMENTA-LIKE (AIL) family of APETALA 2/ETHYLENE RESPONSE FACTOR (AP2/ERF) domain transcription factors are expressed in all dividing tissues in the plant, where they have central roles in developmental processes such as embryogenesis, stem cell niche specification, meristem maintenance, organ positioning, and growth. When overexpressed, AIL proteins induce adventitious growth, including somatic embryogenesis and ectopic organ formation. The Arabidopsis (Arabidopsis thaliana) genome contains eight AIL genes, including AINTEGUMENTA, BABY BOOM, and the PLETHORA genes. Studies on these transcription factors have revealed their intricate relationship with auxin as well as their involvement in an increasing number of gene regulatory networks, in which extensive crosstalk and feedback loops have a major role.","container-title":"Trends in Plant Science","DOI":"10.1016/j.tplants.2013.10.010","ISSN":"1878-4372","issue":"3","journalAbbreviation":"Trends Plant Sci","language":"eng","note":"PMID: 24280109","page":"146-157","source":"PubMed","title":"AINTEGUMENTA-LIKE proteins: hubs in a plethora of networks","title-short":"AINTEGUMENTA-LIKE proteins","volume":"19","author":[{"family":"Horstman","given":"Anneke"},{"family":"Willemsen","given":"Viola"},{"family":"Boutilier","given":"Kim"},{"family":"Heidstra","given":"Renze"}],"issued":{"date-parts":[["2014",3]]}}}],"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49</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ERF018</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7</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LOC108835321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c.-1_1insCAG</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Cell division; response to insect exposure; ethylene-activated signalling pathway; phloem/xylem histogenesis; response to wounding; activation of </w:t>
            </w:r>
            <w:proofErr w:type="spellStart"/>
            <w:r w:rsidRPr="00754B51">
              <w:rPr>
                <w:rFonts w:ascii="Palatino Linotype" w:eastAsia="Palatino Linotype" w:hAnsi="Palatino Linotype" w:cs="Palatino Linotype"/>
                <w:sz w:val="16"/>
                <w:szCs w:val="16"/>
                <w:lang w:val="en-US" w:eastAsia="ru-RU"/>
              </w:rPr>
              <w:t>jasmonate</w:t>
            </w:r>
            <w:proofErr w:type="spellEnd"/>
            <w:r w:rsidRPr="00754B51">
              <w:rPr>
                <w:rFonts w:ascii="Palatino Linotype" w:eastAsia="Palatino Linotype" w:hAnsi="Palatino Linotype" w:cs="Palatino Linotype"/>
                <w:sz w:val="16"/>
                <w:szCs w:val="16"/>
                <w:lang w:val="en-US" w:eastAsia="ru-RU"/>
              </w:rPr>
              <w:t xml:space="preserve"> biosynthesis gene expression.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{"citationID":"Ubb8KguE","properties":{"formattedCitation":"[19]","plainCitation":"[19]","noteIndex":0},"citationItems":[{"id":1918,"uris":["http://zotero.org/users/9833672/items/2M3KXINU"],"itemData":{"id":1918,"type":"article-journal","abstract":"The procambium and cambium are meristematic tissues from which vascular tissue is derived. Vascular initials differentiate into phloem towards the outside of the stem and xylem towards the inside. A small peptide derived from CLV-3/ESR1-LIKE 41 (CLE41) is thought to promote cell divisions in vascular meristems by signalling through the PHLOEM INTERCALLATED WITH XYLEM (PXY) receptor kinase. pxy mutants, however, display only small reductions in vascular cell number, suggesting a mechanism exists that allows plants to compensate for the absence of PXY. Consistent with this idea, we identify a large number of genes specifically upregulated in pxy mutants, including several AP2/ERF transcription factors. These transcription factors are required for normal cell division in the cambium and procambium. These same transcription factors are also upregulated by ethylene and in ethylene-overproducing eto1 mutants. eto1 mutants also exhibit an increase in vascular cell division that is dependent upon the function of at least 2 of these ERF genes. Furthermore, blocking ethylene signalling using a variety of ethylene insensitive mutants such as ein2 enhances the cell division defect of pxy. Our results suggest that these factors define a novel pathway that acts in parallel to PXY/CLE41 to regulate cell division in developing vascular tissue. We propose a model whereby vascular cell division is regulated both by PXY signalling and ethylene/ERF signalling. Under normal circumstances, however, PXY signalling acts to repress the ethylene/ERF pathway.","container-title":"PLoS genetics","DOI":"10.1371/journal.pgen.1002997","ISSN":"1553-7404","issue":"11","journalAbbreviation":"PLoS Genet","language":"eng","note":"number: 11\nPMID: 23166504\nPMCID: PMC3499249","page":"e1002997","source":"PubMed","title":"Plant vascular cell division is maintained by an interaction between PXY and ethylene signalling","volume":"8","author":[{"family":"Etchells","given":"J. Peter"},{"family":"Provost","given":"Claire M."},{"family":"Turner","given":"Simon R."}],"issued":{"date-parts":[["2012"]]}}}],"schema":"https://github.com/citation-style-language/schema/raw/master/csl-citation.json"}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DF1-L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LOC108848832</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c.709_710delCC|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p.Pro237fs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Suppression of root hair growth; mucilage synthesis in seed coat.</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{"citationID":"WJqF8cfM","properties":{"formattedCitation":"[92]","plainCitation":"[92]","noteIndex":0},"citationItems":[{"id":1917,"uris":["http://zotero.org/users/9833672/items/XPYC96JP"],"itemData":{"id":1917,"type":"article-journal","abstract":"How plants determine the final size of growing cells is an important, yet unresolved, issue. Root hairs provide an excellent model system with which to study this as their final cell size is remarkably constant under constant environmental conditions. Previous studies have demonstrated that a basic helix-loop helix transcription factor ROOT HAIR DEFECTIVE 6-LIKE 4 (RSL4) promotes root hair growth, but how hair growth is terminated is not known. In this study, we demonstrate that a trihelix transcription factor GT-2-LIKE1 (GTL1) and its homolog DF1 repress root hair growth in Arabidopsis. Our transcriptional data, combined with genome-wide chromatin-binding data, show that GTL1 and DF1 directly bind the RSL4 promoter and regulate its expression to repress root hair growth. Our data further show that GTL1 and RSL4 regulate each other, as well as a set of common downstream genes, many of which have previously been implicated in root hair growth. This study therefore uncovers a core regulatory module that fine-tunes the extent of root hair growth by the orchestrated actions of opposing transcription factors., Summary:\nArabidopsis gtl1 df1 double mutants and tissue-specific overexpression of GTL1 and DF1 demonstrate that both GTL1 and DF1 negatively regulate root hair growth by directly repressing RSL4.","container-title":"Development (Cambridge, England)","DOI":"10.1242/dev.159707","ISSN":"0950-1991","issue":"3","journalAbbreviation":"Development","note":"number: 3\nPMID: 29439132\nPMCID: PMC5818008","page":"dev159707","source":"PubMed Central","title":"GTL1 and DF1 regulate root hair growth through transcriptional repression of ROOT HAIR DEFECTIVE 6-LIKE 4 in Arabidopsis","volume":"145","author":[{"family":"Shibata","given":"Michitaro"},{"family":"Breuer","given":"Christian"},{"family":"Kawamura","given":"Ayako"},{"family":"Clark","given":"Natalie M."},{"family":"Rymen","given":"Bart"},{"family":"Braidwood","given":"Luke"},{"family":"Morohashi","given":"Kengo"},{"family":"Busch","given":"Wolfgang"},{"family":"Benfey","given":"Philip N."},{"family":"Sozzani","given":"Rosangela"},{"family":"Sugimoto","given":"Keiko"}],"issued":{"date-parts":[["2018",2,1]]}}}],"schema":"https://github.com/citation-style-language/schema/raw/master/csl-citation.json"}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LRL1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LOC108852215</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c.206delG|p.Gly69fs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Lipid accumulation under nutrient-deficient conditions; elongation of root hairs.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{"citationID":"59IWBYe4","properties":{"formattedCitation":"[93]","plainCitation":"[93]","noteIndex":0},"citationItems":[{"id":1916,"uris":["http://zotero.org/users/9833672/items/EA8ZV9K3"],"itemData":{"id":1916,"type":"article-journal","abstract":"We used co‐expression analysis − an approach to predict the function of unknown genes based on biological processes − in Chlamydomonas reinhardtii to identify a putative transcription factor, lipid remodeling regulator 1 (LRL1), that is involved in the process of adapting to phosphorus‐deficient conditions by concomitantly regulating the cell cycle, phosphorus, and lipid metabolism.","container-title":"The Plant Journal","DOI":"10.1111/tpj.14473","ISSN":"0960-7412","issue":"3","journalAbbreviation":"Plant J","note":"number: 3\nPMID: 31350858\nPMCID: PMC6899820","page":"610-626","source":"PubMed Central","title":"Lipid remodeling regulator 1 (LRL1) is differently involved in the phosphorus‐depletion response from PSR1 in Chlamydomonas reinhardtii","volume":"100","author":[{"family":"Hidayati","given":"Nur A."},{"family":"Yamada‐Oshima","given":"Yui"},{"family":"Iwai","given":"Masako"},{"family":"Yamano","given":"Takashi"},{"family":"Kajikawa","given":"Masataka"},{"family":"Sakurai","given":"Nozomu"},{"family":"Suda","given":"Kunihiro"},{"family":"Sesoko","given":"Kanami"},{"family":"Hori","given":"Koichi"},{"family":"Obayashi","given":"Takeshi"},{"family":"Shimojima","given":"Mie"},{"family":"Fukuzawa","given":"Hideya"},{"family":"Ohta","given":"Hiroyuki"}],"issued":{"date-parts":[["2019",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52</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ERF019</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LOC108809887</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c.458_459delAA|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p.Lys153fs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drought; ethylene-activated signalling pathway; response to fungal infection.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{"citationID":"iMjQxejW","properties":{"formattedCitation":"[94]","plainCitation":"[94]","noteIndex":0},"citationItems":[{"id":1915,"uris":["http://zotero.org/users/9833672/items/NECGF3IC"],"itemData":{"id":1915,"type":"article-journal","abstract":"Phytophthora species are destructive plant pathogens that cause significant crop losses worldwide. To understand plant susceptibility to oomycete pathogens and to explore novel disease resistance strategies, we employed the Arabidopsis thaliana–Phytophthora parasitica model pathosystem and screened for A. thaliana T‐DNA insertion mutant lines resistant to P. parasitica. This led to the identification of the resistant mutant 267‐31, which carries two T‐DNA insertion sites in the promoter region of the ethylene‐responsive factor 19 gene (ERF019). Quantitative reverse transcription PCR (RT‐qPCR) assays showed that the expression of ERF019 was induced during P. parasitica infection in the wild type, which was suppressed in the 267‐31 mutant. Additional erf019 mutants were generated using CRISPR/Cas9 technology and were confirmed to have increased resistance to P. parasitica. In contrast, ERF019 overexpression lines were more susceptible. Transient overexpression assays in Nicotiana benthamiana showed that the nuclear localization of ERF019 is crucial for its susceptible function. RT‐qPCR analyses showed that the expression of marker genes for multiple defence pathways was significantly up‐regulated in the mutant compared with the wild type during infection. Flg2</w:instrText>
            </w:r>
            <w:r w:rsidRPr="00754B51">
              <w:rPr>
                <w:rFonts w:ascii="Palatino Linotype" w:eastAsia="Palatino Linotype" w:hAnsi="Palatino Linotype" w:cs="Palatino Linotype"/>
                <w:sz w:val="16"/>
                <w:szCs w:val="16"/>
                <w:lang w:val="en-US" w:eastAsia="ru-RU"/>
              </w:rPr>
              <w:instrText xml:space="preserve">2‐induced hydrogen peroxide accumulation and reactive oxygen species burst were impaired in ERF019 overexpression lines, and flg22‐induced MAPK activation was enhanced in erf019 mutants. Moreover, transient overexpression of ERF019 strongly suppressed INF‐triggered cell death in N. benthamiana. These results reveal the importance of ERF019 in mediating plant susceptibility to P. parasitica through suppression of pathogen‐associated molecular pattern‐triggered immunity., \nERF019 is induced during Phytophthora parasitica infection and acts as a negative regulator of plant resistance by suppressing PAMP‐triggered immunity.","container-title":"Molecular Plant Pathology","DOI":"10.1111/mpp.12971","ISSN":"1464-6722","issue":"9","journalAbbreviation":"Mol Plant Pathol","note":"number: 9\nPMID: 32725756\nPMCID: PMC7411552","page":"1179-1193","source":"PubMed Central","title":"The Arabidopsis thaliana gene AtERF019 negatively regulates plant resistance to Phytophthora parasitica by suppressing PAMP‐triggered immunity","volume":"21","author":[{"family":"Lu","given":"Wenqin"},{"family":"Deng","given":"Fengyan"},{"family":"Jia","given":"Jinbu"},{"family":"Chen","given":"Xiaokang"},{"family":"Li","given":"Jinfang"},{"family":"Wen","given":"Qujiang"},{"family":"Li","given":"Tingting"},{"family":"Meng","given":"Yuling"},{"family":"Shan","given":"Weixing"}],"issued":{"date-parts":[["2020",7,28]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[94]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53</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bHLH111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LOC108829884</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c.1delA|p.Met1fs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Anthocyanin biosynthesis; expressed in response to nitrogen deficiency</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{"citationID":"i69gQ7Kq","properties":{"formattedCitation":"[95]","plainCitation":"[95]","noteIndex":0},"citationItems":[{"id":1914,"uris":["http://zotero.org/users/9833672/items/5G26XSST"],"itemData":{"id":1914,"type":"article-journal","abstract":"BACKGROUND: Flesh is prone to accumulate more anthocyanin in postharvest 'Friar' plum (Prunus salicina Lindl.) fruit stored at an intermediate temperature. However, little is known about the molecular mechanism of anthocyanin accumulation regulated by storage temperature in postharvest plum fruit.\nRESULTS: To reveal the potential molecular regulation mechanism of anthocyanin accumulation in postharvest 'Friar' plum fruit stored at different temperatures (0 °C, 10 °C and 25 °C), the fruit quality, metabolite profile and transcriptome of its flesh were investigated. Compared to the plum fruit stored at 0 °C and 25 °C, the fruit stored at 10 °C showed lower fruit firmness after 14 days and reduced the soluble solids content after 21 days of storage. The metabolite analysis indicated that the fruit stored at 10 °C had higher contents of anthocyanins (pelargonidin-3-O-glucoside, cyanidin-3-O-glucoside, cyanidin-3-O-rutinoside and quercetin-3-O-rutinose), quercetin and sucrose in the flesh. According to the results of weighted gene coexpression correlation network analysis (WGCNA), the turquoise module was positively correlated with the content of anthocyanin components, and flavanone 3-hydroxylase (F3H) and chalcone synthase (CHS) were considered hub genes. Moreover, MYB family transcription factor APL (APL), MYB10 transcription factor (MYB10), ethylene-responsive transcription factor WIN1 (WIN1), basic leucine zipper 43-like (bZIP43) and transcription factor bHLH111-like isoform X2 (bHLH111) were closely related to these hub genes. Further qRT-PCR analysis verified that these transcription factors were specifically more highly expressed in plum flesh stored at 10 °C, and their expression profiles were significantly positively correlated with the structural genes of anthocyanin synthesis as well as the content of anthocyanin components. In addition, the sucrose biosynthesis-associated gene sucrose synthase (SS) was upregulated at 10 °C, which was also closely related to the anthocyanin content of plum fruit stored at 10 °C.\nCONCLUSIONS: The present results suggest that the transcription factors APL, MYB10, WIN1, bZIP43 and bHLH111 may participate in the accumulation of anthocyanin in 'Friar' plum flesh during intermediate storage temperatures by regulating the expression of anthocyanin biosynthetic structural genes. In addition, the SS gene may play a role in anthocyanin accumulation in plum flesh by regulating sucrose biosynthesis.","container-title":"BMC plant biology","DOI":"10.1186/s12870-021-03354-2","ISSN":"1471-2229","issue":"1","journalAbbreviation":"BMC Plant Biol","language":"eng","note":"number: 1\nPMID: 34872513\nPMCID: PMC8647467","page":"576","source":"PubMed","title":"Weighted gene coexpression correlation network analysis reveals a potential molecular regulatory mechanism of anthocyanin accumulation under different storage temperatures in 'Friar' plum","volume":"21","author":[{"family":"Li","given":"Xueling"},{"family":"Cheng","given":"Yudou"},{"family":"Wang","given":"Meng"},{"family":"Cui","given":"Sujuan"},{"family":"Guan","given":"Junfeng"}],"issued":{"date-parts":[["2021",12,6]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[95]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54</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CRF1</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LOC108846019</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c.252_253insG|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p.Thr85fs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Probable target of CLE41; component of CK signalling; seedling, leaf and embryo development; regulation of gene expression by stress factors and components of stress signalling pathways.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{"citationID":"tQZsBd1E","properties":{"formattedCitation":"[96]","plainCitation":"[96]","noteIndex":0},"citationItems":[{"id":1913,"uris":["http://zotero.org/users/9833672/items/JQBXGZCW"],"itemData":{"id":1913,"type":"article-journal","abstract":"Cytokinin is a plant hormone essential for growth and development. The elucidation of its signalling pathway as a variant of the bacterial two-component signalling system (TCS) has led to a better understanding of how this hormone is involved in general plant processes. A set of cytokinin-regulated transcription factors known as cytokinin response factors (CRFs) have been described as a potential branch emanating from the TCS, yet little is known about how CRFs actually interact with each other and with members of the TCS pathway. Here the interactions of CRF proteins (CRF1-CRF8) using the yeast two-hybrid system and bimolecular fluorescence complementation in planta assays are described. It was found that CRFs are readily able to form both homo- and heterodimers with each other. The first analysis of CRF versus TCS pathway protein interactions is also provided, which indicates that CRFs (CRF1-CRF8) are able specifically to interact directly with most of the Arabidopsis histidine-phosphotransfer proteins (AHP1-AHP5) further solidifying their link to the cytokinin signalling pathway. In addition, the region of CRF proteins involved in these interactions was mapped and it was determined that the clade-specific CRF domain alone is sufficient for these interactions. This is the first described function for the CRF domain in plants.","container-title":"Journal of Experimental Botany","DOI":"10.1093/jxb/err199","ISSN":"1460-2431","issue":"14","journalAbbreviation":"J Exp Bot","language":"eng","note":"number: 14\nPMID: 21705390\nPMCID: PMC3193008","page":"4995-5002","source":"PubMed","title":"CRFs form protein-protein interactions with each other and with members of the cytokinin signalling pathway in Arabidopsis via the CRF domain","volume":"62","author":[{"family":"Cutcliffe","given":"James W."},{"family":"Hellmann","given":"Eva"},{"family":"Heyl","given":"Alexander"},{"family":"Rashotte","given":"Aaron M."}],"issued":{"date-parts":[["2011",10]]}}}],"schema":"https://github.com/citation-style-language/schema/raw/master/csl-citation.json"}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55</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CDC5</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8</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LOC108830943</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c.1494_1495insTT|p.Ala499fs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Regulation of </w:t>
            </w:r>
            <w:proofErr w:type="spellStart"/>
            <w:r w:rsidRPr="00754B51">
              <w:rPr>
                <w:rFonts w:ascii="Palatino Linotype" w:eastAsia="Palatino Linotype" w:hAnsi="Palatino Linotype" w:cs="Palatino Linotype"/>
                <w:sz w:val="16"/>
                <w:szCs w:val="16"/>
                <w:lang w:val="en-US" w:eastAsia="ru-RU"/>
              </w:rPr>
              <w:t>defence</w:t>
            </w:r>
            <w:proofErr w:type="spellEnd"/>
            <w:r w:rsidRPr="00754B51">
              <w:rPr>
                <w:rFonts w:ascii="Palatino Linotype" w:eastAsia="Palatino Linotype" w:hAnsi="Palatino Linotype" w:cs="Palatino Linotype"/>
                <w:sz w:val="16"/>
                <w:szCs w:val="16"/>
                <w:lang w:val="en-US" w:eastAsia="ru-RU"/>
              </w:rPr>
              <w:t xml:space="preserve"> responses through control of transcription; mRNA splicing; cell cycle control; SAM development; control of plant innate immunity.</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{"citationID":"jEJDo4fk","properties":{"formattedCitation":"[97]","plainCitation":"[97]","noteIndex":0},"citationItems":[{"id":1912,"uris":["http://zotero.org/users/9833672/items/GYWG76S4"],"itemData":{"id":1912,"type":"article-journal","abstract":"CDC5 is a MYB-related protein that exists in plants, animals, and fungi. In Arabidopsis, CDC5 regulates both growth and immunity through unknown mechanisms. Here, we show that CDC5 from Arabidopsis positively regulates the accumulation of microRNAs (miRNAs), which control many biological processes including development and adaptations to environments in plants. CDC5 interacts with both the promoters of genes encoding miRNAs (MIR) and the DNA-dependent RNA polymerase II. As a consequence, lack of CDC5 reduces the occupancy of polymerase II at MIR promoters, as well as MIR promoter activities. In addition, CDC5 is associated with the DICER-LIKE1 complex, which generates miRNAs from their primary transcripts and is required for efficient miRNA production. These results suggest that CDC5 may have dual roles in miRNA biogenesis: functioning as a positive transcription factor of MIR and/or acting as a component of the DICER-LIKE1 complex to enhance primary miRNA processing.","container-title":"Proceedings of the National Academy of Sciences of the United States of America","DOI":"10.1073/pnas.1310644110","ISSN":"1091-6490","issue":"43","journalAbbreviation":"Proc Natl Acad Sci U S A","language":"eng","note":"number: 43\nPMID: 24101471\nPMCID: PMC3808604","page":"17588-17593","source":"PubMed","title":"CDC5, a DNA binding protein, positively regulates posttranscriptional processing and/or transcription of primary microRNA transcripts","volume":"110","author":[{"family":"Zhang","given":"Shuxin"},{"family":"Xie","given":"Meng"},{"family":"Ren","given":"Guodong"},{"family":"Yu","given":"Bin"}],"issued":{"date-parts":[["2013",10,22]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56</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PRHA-L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8</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LOC108821801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c.714dupG|p.Ser239fs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auxin; response to pathogens.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{"citationID":"I0HfF9mc","properties":{"formattedCitation":"[98]","plainCitation":"[98]","noteIndex":0},"citationItems":[{"id":1911,"uris":["http://zotero.org/users/9833672/items/8CHEZR9U"],"itemData":{"id":1911,"type":"article-journal","abstract":"A single-copy Arabidopsis homeobox gene, prha, which encodes a homeodomain protein with a molecular weight of 90,500 has been characterized. The position of the gene was mapped to the distal part of chromosome 4. Expression of the gene differs in various vegetative and floral plant tissues and is positively influenced by the phytohormone auxin. In Arabidopsis plants, a complex pattern of prha promoter-driven GUS expression is observed, often associated with regions of developing vascular tissue. Exogenously applied auxin strongly increased endogenous prha transcript levels. In addition, the prha promoter is highly responsive to the synthetic auxin, naphthalene acetic acid, in transient assays using tobacco protoplasts. The PRHA protein has the capacity to bind to TAATTG core sequence elements but requires additional adjacent bases for high-affinity binding. These findings are discussed in relation to studies of other plant homeobox genes as well as possible in vivo target genes for PRHA.","container-title":"The Plant Journal: For Cell and Molecular Biology","DOI":"10.1046/j.1365-313x.1997.00635.x","ISSN":"0960-7412","issue":"3","journalAbbreviation":"Plant J","language":"eng","note":"number: 3\nPMID: 9351248","page":"635-647","source":"PubMed","title":"Developmental and auxin-induced expression of the Arabidopsis prha homeobox gene","volume":"12","author":[{"family":"Plesch","given":"G."},{"family":"Störmann","given":"K."},{"family":"Torres","given":"J. T."},{"family":"Walden","given":"R."},{"family":"Somssich","given":"I. E."}],"issued":{"date-parts":[["1997",9]]}}}],"schema":"https://github.com/citation-style-language/schema/raw/master/csl-citation.json"}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lastRenderedPageBreak/>
              <w:t>57</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SUVH9-L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LOC108835120</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c.865delG|p.Glu289fs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Transposon silencing; RNA-directed DNA methylation.</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{"citationID":"XNupH59J","properties":{"formattedCitation":"[99]","plainCitation":"[99]","noteIndex":0},"citationItems":[{"id":1910,"uris":["http://zotero.org/users/9833672/items/V5RH45T9"],"itemData":{"id":1910,"type":"article-journal","abstract":"RNA-directed DNA methylation (RdDM) is required for transcriptional silencing of transposons and other DNA repeats in Arabidopsis thaliana. Although previous research has demonstrated that the SET domain-containing SU(VAR)3-9 homologs SUVH2 and SUVH9 are involved in the RdDM pathway, the underlying mechanism remains unknown. Our results indicated that SUVH2 and/or SUVH9 not only interact with the chromatin-remodeling complex termed DDR (DMS3, DRD1, and RDM1) but also with the newly characterized complex composed of two conserved Microrchidia (MORC) family proteins, MORC1 and MORC6. The effect of suvh2suvh9 on Pol IV-dependent siRNA accumulation and DNA methylation is comparable to that of the Pol V mutant nrpe1 and the DDR complex mutant dms3, suggesting that SUVH2 and SUVH9 are functionally associated with RdDM. Our CHIP assay demonstrated that SUVH2 and SUVH9 are required for the occupancy of Pol V at RdDM loci and facilitate the production of Pol V-dependent noncoding RNAs. Moreover, SUVH2 and SUVH9 are also involved in the occupancy of DMS3 at RdDM loci. The putative catalytic active site in the SET domain of SUVH2 is dispensable for the function of SUVH2 in RdDM and H3K9 dimethylation. We propose that SUVH2 and SUVH9 bind to methylated DNA and facilitate the recruitment of Pol V to RdDM loci by associating with the DDR complex and the MORC complex.","container-title":"PLoS genetics","DOI":"10.1371/journal.pgen.1003948","ISSN":"1553-7404","issue":"1","journalAbbreviation":"PLoS Genet","language":"eng","note":"number: 1\nPMID: 24465213\nPMCID: PMC3898904","page":"e1003948","source":"PubMed","title":"The SET domain proteins SUVH2 and SUVH9 are required for Pol V occupancy at RNA-directed DNA methylation loci","volume":"10","author":[{"family":"Liu","given":"Zhang-Wei"},{"family":"Shao","given":"Chang-Rong"},{"family":"Zhang","given":"Cui-Jun"},{"family":"Zhou","given":"Jin-Xing"},{"family":"Zhang","given":"Su-Wei"},{"family":"Li","given":"Lin"},{"family":"Chen","given":"She"},{"family":"Huang","given":"Huan-Wei"},{"family":"Cai","given":"Tao"},{"family":"He","given":"Xin-Jian"}],"issued":{"date-parts":[["2014",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[99]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58</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TOPII</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85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LOC130508706</w:t>
            </w:r>
          </w:p>
        </w:tc>
        <w:tc>
          <w:tcPr>
            <w:tcW w:w="286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c.1680delG|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p.Arg561fs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Control of DNA topological states by temporary breakage and subsequent reunion of DNA strands.</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{"citationID":"JoHztQol","properties":{"formattedCitation":"[100]","plainCitation":"[100]","noteIndex":0},"citationItems":[{"id":1909,"uris":["http://zotero.org/users/9833672/items/B3Z2SQIL"],"itemData":{"id":1909,"type":"article-journal","abstract":"DNA entanglements and supercoiling arise frequently during normal DNA metabolism. DNA topoisomerases are highly conserved enzymes that resolve the topological problems that these structures create. Topoisomerase II (TOPII) releases topological stress in DNA by removing DNA supercoils through breaking the two DNA strands, passing a DNA duplex through the break and religating the broken strands. TOPII performs key DNA metabolic roles essential for DNA replication, chromosome condensation, heterochromatin metabolism, telomere disentanglement, centromere decatenation, transmission of crossover (CO) interference, interlock resolution and chromosome segregation in several model organisms. In this study, we reveal the endogenous role of Arabidopsis thaliana TOPII in normal root growth and cell cycle, and mitotic DNA repair via homologous recombination. Additionally, we show that the protein is required for meiotic DSB repair progression, but not for CO formation. We propose that TOPII might promote mitotic HR DNA repair by relieving stress needed for HR strand invasion and D-loop formation.","container-title":"International Journal of Molecular Sciences","DOI":"10.3390/ijms222313115","ISSN":"1422-0067","issue":"23","journalAbbreviation":"Int J Mol Sci","language":"eng","note":"number: 23\nPMID: 34884922\nPMCID: PMC8658145","page":"13115","source":"PubMed","title":"The Role of Topoisomerase II in DNA Repair and Recombination in Arabidopsis thaliana","volume":"22","author":[{"family":"Martinez-Garcia","given":"Marina"},{"family":"White","given":"Charles I."},{"family":"Franklin","given":"F. Chris H."},{"family":"Sanchez-Moran","given":"Eugenio"}],"issued":{"date-parts":[["2021",12,4]]}}}],"schema":"https://github.com/citation-style-language/schema/raw/master/csl-citation.json"}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59</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BBX27</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LOC108816763</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c.690dupT|p.Ser231fs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Photoperiodic control of short-day flowering.</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color w:val="212121"/>
                <w:sz w:val="16"/>
                <w:szCs w:val="16"/>
                <w:lang w:val="en-US" w:eastAsia="ru-RU"/>
              </w:rPr>
            </w:pPr>
            <w:r w:rsidRPr="00754B51">
              <w:rPr>
                <w:rFonts w:ascii="Palatino Linotype" w:eastAsia="Palatino Linotype" w:hAnsi="Palatino Linotype" w:cs="Palatino Linotype"/>
                <w:color w:val="212121"/>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{"citationID":"6TWhXfqn","properties":{"formattedCitation":"[101]","plainCitation":"[101]","noteIndex":0},"citationItems":[{"id":1908,"uris":["http://zotero.org/users/9833672/items/5A8LBEVD"],"itemData":{"id":1908,"type":"article-journal","abstract":"The B-box proteins (BBXs) are a family of zinc finger proteins containing one/two B-box domain(s), which play important roles in plant growth and development. Though the Arabidopsis thaliana BBX family genes have been identified and named, no systematic study has taken on BBX family genes involved in the regulation of UV-B induced photomorphogenesis in Arabidopsis thaliana. In our previous report, BBX24/STO was demonstrated to be a negative regulator in UV-B signaling pathway in Arabidopsis. In the present study, the total 32 BBX family genes from Arabidopsis were analyzed, including their structures, conserved domains, phylogenetic relationships, promoter cis-regulatory elements, expression patterns under UV-B radiation. The expression profile of GEO Datasets (GSE117199) related to UV-B in NCBI database was analyzed. qRT-PCR was used to validate the expression profile of several BBX genes in Arabidopsis treated with UV-B. The promoters of AtBBXs contained cis-acting elements that respond to light and hormones, including ethylene, auxin (IAA), abscisic acid (ABA), gibberellin (GA) and methyl jasmonate (MeJA). BBX24 and BBX25 were collinear blocks, suggesting that BBX25 may also be involved in UV-B signal transduction. Expression profile analysis and qRT-PCR validation showed that UV-B induced up-regulation of BBX1, BBX7, BBX20, BBX25 and BBX32, suggesting that AtBBXs were mainly involved in UV-B photomorphogenesis. It is predicted that BBX1, BBX7, BBX20 and BBX25 may be new members in response to UV-B signaling.","container-title":"Plant Signaling &amp; Behavior","DOI":"10.1080/15592324.2020.1782647","ISSN":"1559-2324","issue":"9","journalAbbreviation":"Plant Signal Behav","language":"eng","note":"number: 9\nPMID: 32552524\nPMCID: PMC8550283","page":"1782647","source":"PubMed","title":"Bioinformatics analysis of BBX family genes and its response to UV-B in Arabidopsis thaliana","volume":"15","author":[{"family":"Lyu","given":"Guizhen"},{"family":"Li","given":"Dongbing"},{"family":"Li","given":"Shaoshan"}],"issued":{"date-parts":[["2020",9,1]]}}}],"schema":"https://github.com/citation-style-language/schema/raw/master/csl-citation.json"}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4323"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b/>
                <w:sz w:val="16"/>
                <w:szCs w:val="16"/>
                <w:lang w:val="en-US" w:eastAsia="ru-RU"/>
              </w:rPr>
              <w:t>Organogenesis</w:t>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ARA2</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85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LOC108854961</w:t>
            </w:r>
          </w:p>
        </w:tc>
        <w:tc>
          <w:tcPr>
            <w:tcW w:w="286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c.926_927insTG|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p.Arg310fs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Establishment and development of lateral roots independent of auxin and </w:t>
            </w:r>
            <w:proofErr w:type="spellStart"/>
            <w:r w:rsidRPr="00754B51">
              <w:rPr>
                <w:rFonts w:ascii="Palatino Linotype" w:eastAsia="Palatino Linotype" w:hAnsi="Palatino Linotype" w:cs="Palatino Linotype"/>
                <w:sz w:val="16"/>
                <w:szCs w:val="16"/>
                <w:lang w:val="en-US" w:eastAsia="ru-RU"/>
              </w:rPr>
              <w:t>abscisic</w:t>
            </w:r>
            <w:proofErr w:type="spellEnd"/>
            <w:r w:rsidRPr="00754B51">
              <w:rPr>
                <w:rFonts w:ascii="Palatino Linotype" w:eastAsia="Palatino Linotype" w:hAnsi="Palatino Linotype" w:cs="Palatino Linotype"/>
                <w:sz w:val="16"/>
                <w:szCs w:val="16"/>
                <w:lang w:val="en-US" w:eastAsia="ru-RU"/>
              </w:rPr>
              <w:t xml:space="preserve"> acid.</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{"citationID":"IZII5kPx","properties":{"formattedCitation":"[102]","plainCitation":"[102]","noteIndex":0},"citationItems":[{"id":1907,"uris":["http://zotero.org/users/9833672/items/8VMHZ5DY"],"itemData":{"id":1907,"type":"article-journal","abstract":"ARABIDILLO proteins are F-box-Armadillo (ARM) proteins that regulate root branching in Arabidopsis. Many F-box proteins in plants, yeast and mammals are unstable. In plants, the mechanism for this instability has not been fully investigated. Here, we show that a conserved family of plant ARABIDILLO-related proteins has a unique domain structure consisting of an F-box and leucine-rich repeats (LRRs) followed by ARM-repeats. The LRRs are similar to those found in other plant and animal F-box proteins, including cell cycle proteins and hormone receptors. We demonstrate that the LRRs are required for ARABIDILLO1 function in vivo. ARABIDILLO1 protein is unstable: we show that ARABIDILLO1 protein is associated with ubiquitin and is turned over by the proteasome. Both the F-box and LRR regions of ARABIDILLO1 appear to enable this turnover to occur. Application of known lateral root-regulating signals has no effect on ARABIDILLO1 stability. In addition, plants that lack or overexpress ARABIDILLO proteins respond normally to known lateral root-regulating signals. Thus, we suggest that the signal(s) regulating ARABIDILLO stability in vivo may be either highly specific or novel. The structural conservation between ARABIDILLOs and other plant and animal F-box proteins suggests that the stability of other F-box proteins may be controlled by similar mechanisms.","container-title":"Plant Molecular Biology","DOI":"10.1007/s11103-010-9709-1","ISSN":"1573-5028","issue":"1-2","journalAbbreviation":"Plant Mol Biol","language":"eng","note":"number: 1-2\nPMID: 21052782","page":"77-92","source":"PubMed","title":"ARABIDILLO proteins have a novel and conserved domain structure important for the regulation of their stability","volume":"75","author":[{"family":"Nibau","given":"Cândida"},{"family":"Gibbs","given":"Daniel J."},{"family":"Bunting","given":"Karen A."},{"family":"Moody","given":"Laura A."},{"family":"Smiles","given":"Emma J."},{"family":"Tubby","given":"Jennifer A."},{"family":"Bradshaw","given":"Susan J."},{"family":"Coates","given":"Juliet C."}],"issued":{"date-parts":[["2011",1]]}}}],"schema":"https://github.com/citation-style-language/schema/raw/master/csl-citation.json"}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4323"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b/>
                <w:sz w:val="16"/>
                <w:szCs w:val="16"/>
                <w:lang w:val="en-US" w:eastAsia="ru-RU"/>
              </w:rPr>
              <w:t xml:space="preserve">Metabolism and signalling of </w:t>
            </w:r>
            <w:proofErr w:type="spellStart"/>
            <w:r w:rsidRPr="00754B51">
              <w:rPr>
                <w:rFonts w:ascii="Palatino Linotype" w:eastAsia="Palatino Linotype" w:hAnsi="Palatino Linotype" w:cs="Palatino Linotype"/>
                <w:b/>
                <w:sz w:val="16"/>
                <w:szCs w:val="16"/>
                <w:lang w:val="en-US" w:eastAsia="ru-RU"/>
              </w:rPr>
              <w:t>phytohormones</w:t>
            </w:r>
            <w:proofErr w:type="spellEnd"/>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CLE7</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LOC108853737</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c.1_2delAT|p.Met1fs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Signal peptide, synthesised in response to nitrogen deficiency. Expressed in the vascular network and pericycle, inhibits lateral root formation.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{"citationID":"NwauUNvc","properties":{"formattedCitation":"[103]","plainCitation":"[103]","noteIndex":0},"citationItems":[{"id":1906,"uris":["http://zotero.org/users/9833672/items/NYPU8XBD"],"itemData":{"id":1906,"type":"article-journal","abstract":"CLE (CLAVATA3/EMBRYO SURROUNDING REGION (ESR)) peptides control meristem functions in plants. Our recent study highlights the critical role of a peptide-receptor signaling module composed of nitrogen (N)-responsive CLE peptides and the CLAVATA1 (CLV1) leucine-rich repeat receptor-like kinase in controlling lateral root development in Arabidopsis thaliana. CLE1, -3, -4 and -7 are expressed in root pericycle cells in Arabidopsis roots under N-limited growth conditions. Overexpression of these CLE genes inhibits lateral root emergence from the primary root. The inhibitory action of N-responsive CLE peptides on lateral root development requires the function of CLV1 expressed in phloem companion cells in roots, suggesting that downstream signals are transferred through phloem for systemic regulation of root system architecture. An additional mechanism downstream of CLV1 feedback-regulates transcript levels of N-responsive CLE genes in roots for fine-tuning the signal amplitude.","container-title":"Plant Signaling &amp; Behavior","DOI":"10.4161/psb.29302","ISSN":"1559-2316","journalAbbreviation":"Plant Signal Behav","note":"PMID: 25763500\nPMCID: PMC4203639","page":"e29302","source":"PubMed Central","title":"CLE peptides regulate lateral root development in response to nitrogen nutritional status of plants","volume":"9","author":[{"family":"Araya","given":"Takao"},{"family":"Wirén","given":"Nicolaus","non-dropping-particle":"von"},{"family":"Takahashi","given":"Hideki"}],"issued":{"date-parts":[["2014",5,23]]}}}],"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62</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SAUR15A-L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LOC108846677</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c.1dupA|p.Met1fs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Formation of lateral and adventitious roots in response to auxin.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{"citationID":"HkIwCOPA","properties":{"formattedCitation":"[104]","plainCitation":"[104]","noteIndex":0},"citationItems":[{"id":1905,"uris":["http://zotero.org/users/9833672/items/A2IZ3WYI"],"itemData":{"id":1905,"type":"article-journal","abstract":"Brassinosteroids (BRs) are an important group of plant steroid hormones that regulate growth and development. Several members of the SMALL AUXIN UP RNA (SAUR) family have roles in BR-regulated hypocotyl elongation and root growth. However, the mechanisms are unclear. Here, we show in Arabidopsis (Arabidopsis thaliana) that SAUR15 interacts with cell surface receptor-like kinase BRASSINOSTEROID-INSENSITIVE 1 (BRI1) in BR-treated plants, resulting in enhanced BRI1 phosphorylation status and recruitment of the co-receptor BRI1-ASSOCIATED RECEPTOR KINASE 1. Genetic and phenotypic assays indicated that the SAUR15 effect on BRI1 can be uncoupled from BRASSINOSTEROID INSENSITIVE 2 activity. Instead, we show that SAUR15 promotes BRI1 direct activation of plasma membrane H+-ATPase (PM H+-ATPase) via phosphorylation. Consequently, SAUR15-BRI1-PM H+-ATPase acts as a direct, PM-based mode of BR signaling that drives cell expansion to promote the growth and development of various organs. These data define an alternate mode of BR signaling in plants.","container-title":"Plant Physiology","DOI":"10.1093/plphys/kiac194","ISSN":"1532-2548","issue":"4","journalAbbreviation":"Plant Physiol","language":"eng","note":"number: 4\nPMID: 35511168\nPMCID: PMC9343009","page":"2454-2466","source":"PubMed","title":"SAUR15 interaction with BRI1 activates plasma membrane H+-ATPase to promote organ development of Arabidopsis","volume":"189","author":[{"family":"Li","given":"Mengzhan"},{"family":"Liu","given":"Chunli"},{"family":"Hepworth","given":"Shelley R."},{"family":"Ma","given":"Chaofan"},{"family":"Li","given":"Hong"},{"family":"Li","given":"Jia"},{"family":"Wang","given":"Suo-Min"},{"family":"Yin","given":"Hongju"}],"issued":{"date-parts":[["2022",8,1]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63</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SAUR32</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LOC108809074</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c.365_366delAA|p.Lys122fs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auxin; inhibits hypocotyl cell growth.</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{"citationID":"Z6aeiYdR","properties":{"formattedCitation":"[105]","plainCitation":"[105]","noteIndex":0},"citationItems":[{"id":1904,"uris":["http://zotero.org/users/9833672/items/IWNMKQNT"],"itemData":{"id":1904,"type":"article-journal","abstract":"Auxin functions, at least in part, by regulating a set of early auxin response genes: Aux/IAAs, GH3s and small auxin-up RNAs (SAURs). The SAUR genes encode short transcripts that accumulate rapidly after auxin treatment. There are 72 SAUR genes in Arabidopsis. However, none of these genes have been functionally characterized, although some members have been implicated in calcium/calmodulin-mediated auxin responses and etiolated seedling growth. Here, we investigated the function of a SAUR gene, abolished apical hook maintenance 1 (AAM1), through molecular genetic and transgenic studies. Transgenic Arabidopsis seedlings overexpressing AAM1 exhibited short, hookless hypocotyls with partially open cotyledons in darkness. The hookless phenotype was completely rescued by exogenous auxin. In contrast, hypocotyls of a T-DNA insertion mutant aam1 were slightly longer than wild-type hypocotyls and exhibited normal hook curvature. Notably, AAM1 is predominantly expressed on the inner side of the apical hook, similar to the DR5::GUS reporter. However, on illumination, the AAM1 transcripts were evenly distributed in the apical region, demonstrating that the apical hook development is intimately related to the localized expression of AAM1.","container-title":"Plant Science","DOI":"10.1016/j.plantsci.2006.08.005","ISSN":"0168-9452","issue":"1","journalAbbreviation":"Plant Science","note":"number: 1","page":"150-157","source":"ScienceDirect","title":"Functional characterization of a small auxin-up RNA gene in apical hook development in Arabidopsis","volume":"172","author":[{"family":"Park","given":"Jung-Eun"},{"family":"Kim","given":"Youn-Sung"},{"family":"Yoon","given":"Hae-Kyung"},{"family":"Park","given":"Chung-Mo"}],"issued":{"date-parts":[["2007",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64</w:t>
            </w:r>
          </w:p>
        </w:tc>
        <w:tc>
          <w:tcPr>
            <w:tcW w:w="1029"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SAUR40-L</w:t>
            </w:r>
          </w:p>
        </w:tc>
        <w:tc>
          <w:tcPr>
            <w:tcW w:w="500"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85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LOC108846468</w:t>
            </w:r>
          </w:p>
        </w:tc>
        <w:tc>
          <w:tcPr>
            <w:tcW w:w="286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c.543delA|p.Lys181fs</w:t>
            </w:r>
          </w:p>
        </w:tc>
        <w:tc>
          <w:tcPr>
            <w:tcW w:w="6054"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Response</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to</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auxin</w:t>
            </w:r>
            <w:proofErr w:type="spellEnd"/>
            <w:r w:rsidRPr="00754B51">
              <w:rPr>
                <w:rFonts w:ascii="Palatino Linotype" w:eastAsia="Palatino Linotype" w:hAnsi="Palatino Linotype" w:cs="Palatino Linotype"/>
                <w:sz w:val="16"/>
                <w:szCs w:val="16"/>
                <w:lang w:eastAsia="ru-RU"/>
              </w:rPr>
              <w:t>.</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{"citationID":"sDIJlwMY","properties":{"formattedCitation":"[106]","plainCitation":"[106]","noteIndex":0},"citationItems":[{"id":1903,"uris":["http://zotero.org/users/9833672/items/RCQ8BPGW"],"itemData":{"id":1903,"type":"article-journal","abstract":"The plant hormone auxin modulates cell proliferation and cell expansion in part by changing gene expression. Among the three primary auxin response gene families, Aux/IAA, GH3 and SAUR, the function of SAUR genes remains unclear. SAUR transcripts were initially identified in epidermal and cortical cells of elongating tissues and thus were supposed to regulate cell expansion downstream of auxin transport and auxin signaling. Recent studies have proposed that SAUR proteins are able to modulate auxin transport and cell expansion by an unknown mechanism. We present our work on the SAUR41 subfamily genes of Arabidopsis (SAUR41, SAUR40, SAUR71 and SAUR72). Similar to the fusion protein between SAUR41 and EGFP, both SAUR40-EGFP and SAUR71-EGFP were identified in the cytoplasm of all types of root tip cells. This result indicated that the subcellular location pattern of SAUR proteins among the members of the same subfamily could be similar to each other, although the overall location pattern of SAUR proteins appeared to be highly diverse. SAUR41 was distinctively expressed in the quiescent center and cortex/endodermis initials of root stem cell niches and in the endodermis of hypocotyls, whereas SAUR71 and SAUR72 were expressed in the steles of young roots and hypocotyls. In addition, SAUR71 was differentially expressed during stomatal</w:instrText>
            </w:r>
            <w:r w:rsidRPr="00754B51">
              <w:rPr>
                <w:rFonts w:ascii="Palatino Linotype" w:eastAsia="Palatino Linotype" w:hAnsi="Palatino Linotype" w:cs="Palatino Linotype"/>
                <w:sz w:val="16"/>
                <w:szCs w:val="16"/>
                <w:lang w:val="en-US" w:eastAsia="ru-RU"/>
              </w:rPr>
              <w:instrText xml:space="preserve"> formation. The tissue-specific and developmentally regulated expression patterns of the SAUR41 subfamily genes imply that SAUR transcripts or SAUR proteins might serve as signal molecules to ensure the coordination of cell proliferation and cell expansion. Finally, Arabidopsis seedlings expressing TAP (tandem affinity peptide) tagged SAUR41 displayed phenotypes, indicating that it was rational to use the TAP approach for identification of potential binding partners of SAUR41 proteins.","container-title":"Plant Signaling &amp; Behavior","DOI":"10.4161/psb.25283","ISSN":"1559-2324","issue":"8","journalAbbreviation":"Plant Signal Behav","language":"eng","note":"number: 8\nPMID: 23759547\nPMCID: PMC3999058","page":"e25283","source":"PubMed","title":"The tissue-specific and developmentally regulated expression patterns of the SAUR41 subfamily of small auxin up RNA genes: potential implications","title-short":"The tissue-specific and developmentally regulated expression patterns of the SAUR41 subfamily of small auxin up RNA genes","volume":"8","author":[{"family":"Qiu","given":"Ting"},{"family":"Chen","given":"Yong"},{"family":"Li","given":"Miaomiao"},{"family":"Kong","given":"Yingying"},{"family":"Zhu","given":"Yubin"},{"family":"Han","given":"Ning"},{"family":"Bian","given":"Hongwu"},{"family":"Zhu","given":"Muyuan"},{"family":"Wang","given":"Junhui"}],"issued":{"date-parts":[["2013",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[106]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65</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hyperlink r:id="rId14">
              <w:r w:rsidRPr="00754B51">
                <w:rPr>
                  <w:rFonts w:ascii="Palatino Linotype" w:eastAsia="Palatino Linotype" w:hAnsi="Palatino Linotype" w:cs="Palatino Linotype"/>
                  <w:b/>
                  <w:i/>
                  <w:sz w:val="16"/>
                  <w:szCs w:val="16"/>
                  <w:lang w:val="en-US" w:eastAsia="ru-RU"/>
                </w:rPr>
                <w:t>GA2OX3</w:t>
              </w:r>
            </w:hyperlink>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LOC130510497</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c.827_834delCACCATTG|p.Ala276fs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 component of the GC signalling pathway.</w:t>
            </w:r>
          </w:p>
        </w:tc>
        <w:tc>
          <w:tcPr>
            <w:tcW w:w="849"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{"citationID":"l0XniybI","properties":{"formattedCitation":"[107]","plainCitation":"[107]","noteIndex":0},"citationItems":[{"id":1902,"uris":["http://zotero.org/users/9833672/items/DPXE7MCE"],"itemData":{"id":1902,"type":"article-journal","abstract":"We have cloned two genes for gibberellin (GA) 2-oxidase from rice ( Oryza sativa L.). Expression of OsGA2ox2 was not observed. The other gene, OsGA2ox3, was expressed in every tissue examined and was enhanced by the application of biologically active GA. Recombinant OsGA2ox3 protein catalyzed the metabolism of GA(1) to GA(8) and GA(20) to GA(29)-catabolite. These results indicate that OsGA2ox3 is involved in the homeostatic regulation of the endogenous level of biologically active GA in rice.","container-title":"Journal of Plant Research","DOI":"10.1007/s10265-003-0080-z","ISSN":"0918-9440","issue":"2","journalAbbreviation":"J Plant Res","language":"eng","note":"number: 2\nPMID: 12736788","page":"161-164","source":"PubMed","title":"Expression of novel rice gibberellin 2-oxidase gene is under homeostatic regulation by biologically active gibberellins","volume":"116","author":[{"family":"Sakai","given":"Miho"},{"family":"Sakamoto","given":"Tomoaki"},{"family":"Saito","given":"Tamio"},{"family":"Matsuoka","given":"Makoto"},{"family":"Tanaka","given":"Hiroshi"},{"family":"Kobayashi","given":"Masatomo"}],"issued":{"date-parts":[["2003",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66</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LOC108857184</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LOC108857184</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c.72dupT|p.Pro25fs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 gene of unknown function, probably CK-activated</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67</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HK5-L</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LOC108844370</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c.2573delA|p.Asn858fs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Negative regulation of ETR1-dependent ABA and ethylene signalling pathway; inhibits root elongation; opening/closing of stomata in closing cells by ABA-independent pathway; control of AFC production in response to stress.</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{"citationID":"VE6dzjK2","properties":{"formattedCitation":"[108]","plainCitation":"[108]","noteIndex":0},"citationItems":[{"id":1901,"uris":["http://zotero.org/users/9833672/items/VHTEHUDZ"],"itemData":{"id":1901,"type":"article-journal","abstract":"BACKGROUND: Stomatal guard cells monitor and respond to environmental and endogenous signals such that the stomatal aperture is continually optimised for water use efficiency. A key signalling molecule produced in guard cells in response to plant hormones, light, carbon dioxide and pathogen-derived signals is hydrogen peroxide (H(2)O(2)). The mechanisms by which H(2)O(2) integrates multiple signals via specific signalling pathways leading to stomatal closure is not known.\nPRINCIPAL FINDINGS: Here, we identify a pathway by which H(2)O(2), derived from endogenous and environmental stimuli, is sensed and transduced to effect stomatal closure. Histidine kinases (HK) are part of two-component signal transduction systems that act to integrate environmental stimuli into a cellular response via a phosphotransfer relay mechanism. There is little known about the function of the HK AHK5 in Arabidopsis thaliana. Here we report that in addition to the predicted cytoplasmic localisation of this protein, AHK5 also appears to co-localise to the plasma membrane. Although AHK5 is expressed at low levels in guard cells, we identify a unique role for AHK5 in stomatal signalling. Arabidopsis mutants lacking AHK5 show reduced stomatal closure in response to H(2)O(2), which is reversed by complementation with the wild type gene. Over-expression of AHK5 results in constitutively less stomatal closure. Abiotic stimuli that generate endogenous H(2)O(2), such as darkness, nitric oxide and the phytohormone ethylene, also show reduced stomatal closure in the ahk5 mutants. However, ABA caused cl</w:instrText>
            </w:r>
            <w:r w:rsidRPr="00754B51">
              <w:rPr>
                <w:rFonts w:ascii="Palatino Linotype" w:eastAsia="Palatino Linotype" w:hAnsi="Palatino Linotype" w:cs="Palatino Linotype"/>
                <w:sz w:val="16"/>
                <w:szCs w:val="16"/>
                <w:lang w:val="en-US" w:eastAsia="ru-RU"/>
              </w:rPr>
              <w:instrText xml:space="preserve">osure, dark adaptation induced H(2)O(2) production and H(2)O(2) induced NO synthesis in mutants. Treatment with the bacterial pathogen associated molecular pattern (PAMP) flagellin, but not elf peptide, also exhibited reduced stomatal closure and H(2)O(2) generation in ahk5 mutants.\nSIGNIFICANCE: Our findings identify an integral signalling function for AHK5 that acts to integrate multiple signals via H(2)O(2) homeostasis and is independent of ABA signalling in guard cells.","container-title":"PloS One","DOI":"10.1371/journal.pone.0002491","ISSN":"1932-6203","issue":"6","journalAbbreviation":"PLoS One","language":"eng","note":"number: 6\nPMID: 18560512\nPMCID: PMC2424244","page":"e2491","source":"PubMed","title":"The histidine kinase AHK5 integrates endogenous and environmental signals in Arabidopsis guard cells","volume":"3","author":[{"family":"Desikan","given":"Radhika"},{"family":"Horák","given":"Jakub"},{"family":"Chaban","given":"Christina"},{"family":"Mira-Rodado","given":"Virtudes"},{"family":"Witthöft","given":"Janika"},{"family":"Elgass","given":"Kirstin"},{"family":"Grefen","given":"Christopher"},{"family":"Cheung","given":"Man-Kim"},{"family":"Meixner","given":"Alfred J."},{"family":"Hooley","given":"Richard"},{"family":"Neill","given":"Steven John"},{"family":"Hancock","given":"John Travers"},{"family":"Harter","given":"Klaus"}],"issued":{"date-parts":[["2008",6,18]]}}}],"schema":"https://github.com/citation-style-language/schema/raw/master/csl-citation.json"}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[108]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68</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ETR1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LOC108817715</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c.77dupT|p.Leu26fs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 two-component negative regulator of ethylene signalling. Control of seed germination, control of RAM.</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{"citationID":"LuiQPLK1","properties":{"formattedCitation":"[109]","plainCitation":"[109]","noteIndex":0},"citationItems":[{"id":1900,"uris":["http://zotero.org/users/9833672/items/VJ4S988B"],"itemData":{"id":1900,"type":"article-journal","abstract":"The structure, mechanism of action and copper stoichiometry of the transmembrane sensor domain of the plant ethylene receptor ETR1 and homologs have remained elusive, hampering the understanding on how the perception of the plant hormone ethylene is transformed into a downstream signal. We generated the first structural model of the transmembrane sensor domain of ETR1 by integrating ab initio structure prediction and coevolutionary information. To refine and independently validate the model, we determined protein-related copper stoichiometries on purified receptor preparations and explored the helix arrangement by tryptophan scanning mutagenesis. All-atom molecular dynamics simulations of the dimeric model reveal how ethylene can bind proximal to the copper ions in the receptor, illustrating the initial stages of the ethylene perception process.","container-title":"Scientific Reports","DOI":"10.1038/s41598-019-45189-w","ISSN":"2045-2322","issue":"1","journalAbbreviation":"Sci Rep","language":"eng","note":"number: 1\nPMID: 31222090\nPMCID: PMC6586836","page":"8869","source":"PubMed","title":"Structural Model of the ETR1 Ethylene Receptor Transmembrane Sensor Domain","volume":"9","author":[{"family":"Schott-Verdugo","given":"Stephan"},{"family":"Müller","given":"Lena"},{"family":"Classen","given":"Elisa"},{"family":"Gohlke","given":"Holger"},{"family":"Groth","given":"Georg"}],"issued":{"date-parts":[["2019",6,20]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[109]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4323"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b/>
                <w:sz w:val="16"/>
                <w:szCs w:val="16"/>
                <w:lang w:val="en-US" w:eastAsia="ru-RU"/>
              </w:rPr>
              <w:t>Other functions</w:t>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69</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LOC108842019</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LOC108842019</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c.716_717insAT|p.Leu240fs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A putative receptor kinase.</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{"citationID":"9YClLk0x","properties":{"formattedCitation":"[110]","plainCitation":"[110]","noteIndex":0},"citationItems":[{"id":1899,"uris":["http://zotero.org/users/9833672/items/BSRUZXD7"],"itemData":{"id":1899,"type":"article-journal","abstract":"In plants, cell polarity plays key roles in coordinating developmental processes. Despite the characterization of several polarly localized plasma membrane proteins, the mechanisms connecting protein dynamics with cellular functions often remain unclear. Here, we introduce a polarized receptor, KOIN, that restricts cell divisions in the Arabidopsis root meristem. In the endodermis, KOIN polarity is opposite to IRK, a receptor that represses endodermal cell divisions. Their contra-polar localization facilitates dissection of polarity mechanisms and the links between polarity and function. We find that IRK and KOIN are recognized, sorted, and secreted through distinct pathways. IRK extracellular domains determine its polarity and partially rescue the mutant phenotype, whereas KOIN’s extracellular domains are insufficient for polar sorting and function. Endodermal expression of an IRK/KOIN chimera generates non-cell-autonomous misregulation of root cell divisions that impacts patterning. Altogether, we reveal two contrasting mechanisms determining these receptors’ polarity and link their polarity to cell divisions in root tissue patterning.","container-title":"Nature Communications","DOI":"10.1038/s41467-021-27913-1","ISSN":"2041-1723","issue":"1","journalAbbreviation":"Nat Commun","language":"en","license":"2022 The Author(s)","note":"number: 1\npublisher: Nature Publishing Group","page":"235","source":"www.nature.com","title":"Distinct mechanisms orchestrate the contra-polarity of IRK and KOIN, two LRR-receptor-kinases controlling root cell division","volume":"13","author":[{"family":"Rodriguez-Furlan","given":"Cecilia"},{"family":"Campos","given":"Roya"},{"family":"Toth","given":"Jessica N."},{"family":"Van Norman","given":"Jaimie M."}],"issued":{"date-parts":[["2022",1,11]]}}}],"schema":"https://github.com/citation-style-language/schema/raw/master/csl-citation.json"}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[110]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70</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PNG1</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LOC108813526</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c.1773_1779delGCCGCCA|p.Pro592fs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Protein quality control.</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{"citationID":"tBhDO8Ix","properties":{"formattedCitation":"[111]","plainCitation":"[111]","noteIndex":0},"citationItems":[{"id":1898,"uris":["http://zotero.org/users/9833672/items/8DUZIEW5"],"itemData":{"id":1898,"type":"article-journal","abstract":"Deglycosylation of misfolded proteins by the endoplasmic reticulum-associated degradation (ERAD) pathway is catalyzed by peptide:N-glycanases (PNGases) that are highly conserved among mammals and yeast. The catalytic mechanism of PNGases employs a catalytic triad consisting of Cys, His and Asp residues, which is shared by other enzyme families such as cysteine proteases and protein cross-linking transglutaminases (TGases). In contrast to the yeast and mammalian systems, very little is known about ERAD in plants and the enzymes responsible for proper clearance of misfolded plant proteins. We have used a computer-based modeling approach to identify an Arabidopsis thaliana PNGase (AtPNG1). AtPNG1 is encoded by a single-copy gene and displays high structural homology with known PNGases. Importantly, heterologous expression of AtPNG1 restored N-glycanase activity in a PNGase-deficient Saccharomyces cerevisiae mutant. The AtPNG1 gene is uniformly and constitutively expressed at low levels throughout all developmental stages of the plant, and its expression does not appear to be subject to substantial regulation by external stimuli. Recently, recombinant AtPNG1 produced in Escherichia coli was reported to display TGase activity (Della Mea et al., Plant Physiol. 135, 2046-54, 2004). However, inactivation of the AtPNG1 gene did not result in decreased TGase activity in the mutant plant, and recombinant AtPNG1 produced in S. cerevisiae exhibited only residual TGase activity. We propose that the AtPNG1 gene encodes a bona fide peptide:N-glycanase that contributes to ERAD-related protein quality control in plants.","container-title":"The Plant Journal: For Cell and Molecular Biology","DOI":"10.1111/j.1365-313X.2007.03215.x","ISSN":"0960-7412","issue":"1","journalAbbreviation":"Plant J","language":"eng","note":"number: 1\nPMID: 17666024","page":"94-104","source":"PubMed","title":"The Arabidopsis AtPNG1 gene encodes a peptide: N-glycanase","title-short":"The Arabidopsis AtPNG1 gene encodes a peptide","volume":"52","author":[{"family":"Diepold","given":"Andreas"},{"family":"Li","given":"Guangtao"},{"family":"Lennarz","given":"William J."},{"family":"Nürnberger","given":"Thorsten"},{"family":"Brunner","given":"Frédéric"}],"issued":{"date-parts":[["2007",10]]}}}],"schema":"https://github.com/citation-style-language/schema/raw/master/csl-citation.json"}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[111]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71</w:t>
            </w:r>
          </w:p>
        </w:tc>
        <w:tc>
          <w:tcPr>
            <w:tcW w:w="1029"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LOC108851456</w:t>
            </w:r>
          </w:p>
        </w:tc>
        <w:tc>
          <w:tcPr>
            <w:tcW w:w="500"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85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LOC108851456</w:t>
            </w:r>
          </w:p>
        </w:tc>
        <w:tc>
          <w:tcPr>
            <w:tcW w:w="286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c.383_384delTT|p.Phe128fs</w:t>
            </w:r>
          </w:p>
        </w:tc>
        <w:tc>
          <w:tcPr>
            <w:tcW w:w="6054"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Binding of metal ions; DNA replication.</w:t>
            </w:r>
          </w:p>
        </w:tc>
        <w:tc>
          <w:tcPr>
            <w:tcW w:w="849"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{"citationID":"CqTeNDYZ","properties":{"formattedCitation":"[112]","plainCitation":"[112]","noteIndex":0},"citationItems":[{"id":1897,"uris":["http://zotero.org/users/9833672/items/UMBGPBEP"],"itemData":{"id":1897,"type":"article-journal","abstract":"Accurate DNA replication is one of the most important events in the life of a cell. To perform this task, the cell utilizes several DNA polymerase complexes. We investigated the role of DNA polymerase epsilon during gametophyte and seed development using forward and reverse genetic approaches. In Arabidopsis, the catalytic subunit of this complex is encoded by two genes, AtPOL2a and AtPOL2b, whereas the second largest regulatory subunit AtDPB2 is present as a unique complete copy. Disruption of AtPOL2a or AtDPB2 resulted in a sporophytic embryo-defective phenotype, whilst mutations in AtPOL2b produced no visible effects. Loss of AtDPB2 function resulted in a severe reduction in nuclear divisions, both in the embryo and in the endosperm. Mutations in AtPOL2a allowed several rounds of mitosis to proceed, often with aberrant planes of division. Moreover, AtDPB2 was not expressed during development of the female gametophyte, which requires three post-meiotic nuclear divisions. Since a consensus binding site for E2F transcription factors was identified in the promoter region of both genes, the promoter-reporter fusion technique was used to show that luciferase activity was increased at specific phases of the cell cycle in synchronized tobacco BY-2 cells. Our results support the idea that fertilization may utilize the mechanisms of cell cycle transcriptional regulation of genes to reactivate the divisions of the oosphere and central cell.","container-title":"The Plant Journal: For Cell and Molecular Biology","DOI":"10.1111/j.1365-313X.2005.02521.x","ISSN":"0960-7412","issue":"2","journalAbbreviation":"Plant J","language":"eng","note":"number: 2\nPMID: 16212602","page":"223-236","source":"PubMed","title":"Genetic analysis of two Arabidopsis DNA polymerase epsilon subunits during early embryogenesis","volume":"44","author":[{"family":"Ronceret","given":"Arnaud"},{"family":"Guilleminot","given":"Jocelyne"},{"family":"Lincker","given":"Frédéric"},{"family":"Gadea-Vacas","given":"Jose"},{"family":"Delorme","given":"Valérie"},{"family":"Bechtold","given":"Nicole"},{"family":"Pelletier","given":"Georges"},{"family":"Delseny","given":"Michel"},{"family":"Chabouté","given":"Marie-Edith"},{"family":"Devic","given":"Martine"}],"issued":{"date-parts":[["2005",10]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[112]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6"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72</w:t>
            </w:r>
          </w:p>
        </w:tc>
        <w:tc>
          <w:tcPr>
            <w:tcW w:w="1029"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ASP39</w:t>
            </w:r>
          </w:p>
        </w:tc>
        <w:tc>
          <w:tcPr>
            <w:tcW w:w="500"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855"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LOC108812392</w:t>
            </w:r>
          </w:p>
        </w:tc>
        <w:tc>
          <w:tcPr>
            <w:tcW w:w="2865"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c.387_388insC|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p.Lys130fs</w:t>
            </w:r>
          </w:p>
        </w:tc>
        <w:tc>
          <w:tcPr>
            <w:tcW w:w="6054" w:type="dxa"/>
            <w:tcBorders>
              <w:top w:val="single" w:sz="4" w:space="0" w:color="000000"/>
              <w:bottom w:val="single" w:sz="8"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Synthesis of </w:t>
            </w:r>
            <w:proofErr w:type="spellStart"/>
            <w:r w:rsidRPr="00754B51">
              <w:rPr>
                <w:rFonts w:ascii="Palatino Linotype" w:eastAsia="Palatino Linotype" w:hAnsi="Palatino Linotype" w:cs="Palatino Linotype"/>
                <w:sz w:val="16"/>
                <w:szCs w:val="16"/>
                <w:lang w:val="en-US" w:eastAsia="ru-RU"/>
              </w:rPr>
              <w:t>phytochelatins</w:t>
            </w:r>
            <w:proofErr w:type="spellEnd"/>
            <w:r w:rsidRPr="00754B51">
              <w:rPr>
                <w:rFonts w:ascii="Palatino Linotype" w:eastAsia="Palatino Linotype" w:hAnsi="Palatino Linotype" w:cs="Palatino Linotype"/>
                <w:sz w:val="16"/>
                <w:szCs w:val="16"/>
                <w:lang w:val="en-US" w:eastAsia="ru-RU"/>
              </w:rPr>
              <w:t xml:space="preserve"> and </w:t>
            </w:r>
            <w:proofErr w:type="spellStart"/>
            <w:r w:rsidRPr="00754B51">
              <w:rPr>
                <w:rFonts w:ascii="Palatino Linotype" w:eastAsia="Palatino Linotype" w:hAnsi="Palatino Linotype" w:cs="Palatino Linotype"/>
                <w:sz w:val="16"/>
                <w:szCs w:val="16"/>
                <w:lang w:val="en-US" w:eastAsia="ru-RU"/>
              </w:rPr>
              <w:t>homophytochelatins</w:t>
            </w:r>
            <w:proofErr w:type="spellEnd"/>
            <w:r w:rsidRPr="00754B51">
              <w:rPr>
                <w:rFonts w:ascii="Palatino Linotype" w:eastAsia="Palatino Linotype" w:hAnsi="Palatino Linotype" w:cs="Palatino Linotype"/>
                <w:sz w:val="16"/>
                <w:szCs w:val="16"/>
                <w:lang w:val="en-US" w:eastAsia="ru-RU"/>
              </w:rPr>
              <w:t xml:space="preserve"> that bind heavy metals. Degradation of glutathione conjugates.</w:t>
            </w:r>
          </w:p>
        </w:tc>
        <w:tc>
          <w:tcPr>
            <w:tcW w:w="849" w:type="dxa"/>
            <w:tcBorders>
              <w:top w:val="single" w:sz="4" w:space="0" w:color="000000"/>
              <w:bottom w:val="single" w:sz="8"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715" w:type="dxa"/>
            <w:tcBorders>
              <w:top w:val="single" w:sz="4" w:space="0" w:color="000000"/>
              <w:bottom w:val="single" w:sz="8"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{"citationID":"WAipvpA2","properties":{"formattedCitation":"[113]","plainCitation":"[113]","noteIndex":0},"citationItems":[{"id":1896,"uris":["http://zotero.org/users/9833672/items/U53V2BGJ"],"itemData":{"id":1896,"type":"article-journal","abstract":"Phytochelatin (PC) synthase has been assumed to be a gamma-glutamylcysteine dipeptidyl transpeptidase (EC 2.3.2.15) and, more recently, as exemplified by analyses of the immunopurified recombinant enzyme from Arabidopsis thaliana (AtPCS1-FLAG), has been shown to catalyze a PC synthetic reaction with kinetics that approximates a bisubstrate-substituted enzyme mechanism in which millimolar concentrations of free GSH and micromolar concentrations of heavy metal.GSH thiolates (e.g. cadmium.GS(2)) or millimolar concentrations of S-alkylglutathiones serve as cosubstrates. Here, we show, by direct analyses of the stoichiometry of AtPCS1-FLAG-catalyzed PC synthesis, the kinetics and stoichiometry of acylation of the enzyme and release of free glycine from gamma-Glu-Cys donors, and the effects of the Cys-to-Ser or -Ala and Ser-to-Ala substitution of conserved residues in the catalytic N-terminal half of the enzyme, that PC synthase is indeed a dipeptidyltransferase that undergoes gamma-Glu-Cys acylation at two sites during catalysis, one of which, in accord with a cysteine protease model, likely corresponds to or is at least tightly coupled with Cys(56). The identity of the second site of enzyme modification remains to be determined, but it is distinguishable from the first Cys(56)-dependent site, which is amenable to gamma-Glu-Cys acylation by free GSH, because its acylation not only depends on the provision of Cd(2+) or GSH with a blocked, S-alkylated thiol group, but is also necessary for net PC synthesis. We conclude that des-Gly-PCs are not generated as an immediate by-product, but rather that the enzyme catalyzes a</w:instrText>
            </w:r>
            <w:r w:rsidRPr="00754B51">
              <w:rPr>
                <w:rFonts w:ascii="Palatino Linotype" w:eastAsia="Palatino Linotype" w:hAnsi="Palatino Linotype" w:cs="Palatino Linotype"/>
                <w:sz w:val="16"/>
                <w:szCs w:val="16"/>
                <w:lang w:val="en-US" w:eastAsia="ru-RU"/>
              </w:rPr>
              <w:instrText xml:space="preserve"> dipeptidyl transfer reaction in which some of the energy liberated upon cleavage of the Cys-Gly bonds of the gamma-Glu-Cys donors in the first phase of the catalytic cycle is conserved through the formation of a two site-substituted gamma-Glu-Cys acyl-enzyme intermediate whose hydrolysis provides the energy required for the formation of the new peptide bond required for the extension of PC chain length by one gamma-Glu-Cys repeat per catalytic cycle.","container-title":"The Journal of Biological Chemistry","DOI":"10.1074/jbc.M313142200","ISSN":"0021-9258","issue":"21","journalAbbreviation":"J Biol Chem","language":"eng","note":"number: 21\nPMID: 15004013","page":"22449-22460","source":"PubMed","title":"Phytochelatin synthase, a dipeptidyltransferase that undergoes multisite acylation with gamma-glutamylcysteine during catalysis: stoichiometric and site-directed mutagenic analysis of arabidopsis thaliana PCS1-catalyzed phytochelatin synthesis","title-short":"Phytochelatin synthase, a dipeptidyltransferase that undergoes multisite acylation with gamma-glutamylcysteine during catalysis","volume":"279","author":[{"family":"Vatamaniuk","given":"Olena K."},{"family":"Mari","given":"Stéphane"},{"family":"Lang","given":"Albert"},{"family":"Chalasani","given":"Sreekanth"},{"family":"Demkiv","given":"Ladomyra O."},{"family":"Rea","given":"Philip A."}],"issued":{"date-parts":[["2004",5,21]]}}}],"schema":"https://github.com/citation-style-language/schema/raw/master/csl-citation.json"}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[113]</w:t>
            </w:r>
            <w:r w:rsidRPr="00754B51">
              <w:rPr>
                <w:rFonts w:ascii="Palatino Linotype" w:eastAsia="Palatino Linotype" w:hAnsi="Palatino Linotype" w:cs="Palatino Linotype"/>
                <w:sz w:val="16"/>
                <w:szCs w:val="16"/>
                <w:lang w:eastAsia="ru-RU"/>
              </w:rPr>
              <w:fldChar w:fldCharType="end"/>
            </w:r>
          </w:p>
        </w:tc>
      </w:tr>
    </w:tbl>
    <w:p w:rsidR="00754B51" w:rsidRPr="00754B51" w:rsidRDefault="00754B51" w:rsidP="00754B51">
      <w:pPr>
        <w:suppressAutoHyphens/>
        <w:spacing w:before="240" w:after="120" w:line="228" w:lineRule="auto"/>
        <w:ind w:left="2608"/>
        <w:rPr>
          <w:rFonts w:ascii="Palatino Linotype" w:eastAsia="Palatino Linotype" w:hAnsi="Palatino Linotype" w:cs="Palatino Linotype"/>
          <w:b/>
          <w:color w:val="000000"/>
          <w:sz w:val="18"/>
          <w:szCs w:val="18"/>
          <w:lang w:val="en-US" w:eastAsia="ru-RU"/>
        </w:rPr>
      </w:pPr>
    </w:p>
    <w:p w:rsidR="00754B51" w:rsidRDefault="00754B51" w:rsidP="00754B51">
      <w:pPr>
        <w:suppressAutoHyphens/>
        <w:spacing w:before="240" w:after="120" w:line="228" w:lineRule="auto"/>
        <w:rPr>
          <w:rFonts w:ascii="Palatino Linotype" w:eastAsia="Palatino Linotype" w:hAnsi="Palatino Linotype" w:cs="Palatino Linotype"/>
          <w:b/>
          <w:color w:val="000000"/>
          <w:sz w:val="18"/>
          <w:szCs w:val="18"/>
          <w:lang w:val="en-US" w:eastAsia="ru-RU"/>
        </w:rPr>
      </w:pPr>
    </w:p>
    <w:p w:rsidR="00754B51" w:rsidRPr="00754B51" w:rsidRDefault="00754B51" w:rsidP="00754B51">
      <w:pPr>
        <w:suppressAutoHyphens/>
        <w:spacing w:before="240" w:after="120" w:line="228" w:lineRule="auto"/>
        <w:rPr>
          <w:rFonts w:ascii="Palatino Linotype" w:eastAsia="Palatino Linotype" w:hAnsi="Palatino Linotype" w:cs="Palatino Linotype"/>
          <w:b/>
          <w:color w:val="000000"/>
          <w:sz w:val="18"/>
          <w:szCs w:val="18"/>
          <w:lang w:val="en-US" w:eastAsia="ru-RU"/>
        </w:rPr>
      </w:pPr>
    </w:p>
    <w:p w:rsidR="00754B51" w:rsidRPr="00754B51" w:rsidRDefault="00754B51" w:rsidP="00754B51">
      <w:pPr>
        <w:suppressAutoHyphens/>
        <w:spacing w:before="240" w:after="120" w:line="228" w:lineRule="auto"/>
        <w:ind w:left="2608"/>
        <w:rPr>
          <w:rFonts w:ascii="Times New Roman" w:eastAsia="Times New Roman" w:hAnsi="Times New Roman" w:cs="Times New Roman"/>
          <w:color w:val="000000"/>
          <w:sz w:val="24"/>
          <w:szCs w:val="24"/>
          <w:lang w:val="en-US" w:eastAsia="ru-RU"/>
        </w:rPr>
      </w:pPr>
      <w:r w:rsidRPr="00754B51">
        <w:rPr>
          <w:rFonts w:ascii="Palatino Linotype" w:eastAsia="Palatino Linotype" w:hAnsi="Palatino Linotype" w:cs="Palatino Linotype"/>
          <w:b/>
          <w:color w:val="000000"/>
          <w:sz w:val="18"/>
          <w:szCs w:val="18"/>
          <w:lang w:val="en-US" w:eastAsia="ru-RU"/>
        </w:rPr>
        <w:lastRenderedPageBreak/>
        <w:t xml:space="preserve">Suppl. Table 2. </w:t>
      </w:r>
      <w:r w:rsidRPr="00754B51">
        <w:rPr>
          <w:rFonts w:ascii="Palatino Linotype" w:eastAsia="Palatino Linotype" w:hAnsi="Palatino Linotype" w:cs="Palatino Linotype"/>
          <w:color w:val="000000"/>
          <w:sz w:val="18"/>
          <w:szCs w:val="18"/>
          <w:lang w:val="en-US" w:eastAsia="ru-RU"/>
        </w:rPr>
        <w:t>Protein-coding genes with SNPs causing disruption of the protein structure in radish tumour line.</w:t>
      </w:r>
    </w:p>
    <w:tbl>
      <w:tblPr>
        <w:tblW w:w="15398" w:type="dxa"/>
        <w:jc w:val="center"/>
        <w:tblLayout w:type="fixed"/>
        <w:tblLook w:val="0400" w:firstRow="0" w:lastRow="0" w:firstColumn="0" w:lastColumn="0" w:noHBand="0" w:noVBand="1"/>
      </w:tblPr>
      <w:tblGrid>
        <w:gridCol w:w="455"/>
        <w:gridCol w:w="1062"/>
        <w:gridCol w:w="701"/>
        <w:gridCol w:w="1635"/>
        <w:gridCol w:w="2103"/>
        <w:gridCol w:w="7374"/>
        <w:gridCol w:w="958"/>
        <w:gridCol w:w="1110"/>
      </w:tblGrid>
      <w:tr w:rsidR="00754B51" w:rsidRPr="00754B51" w:rsidTr="00623CB8">
        <w:trPr>
          <w:cantSplit/>
          <w:jc w:val="center"/>
        </w:trPr>
        <w:tc>
          <w:tcPr>
            <w:tcW w:w="454"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w:t>
            </w:r>
          </w:p>
        </w:tc>
        <w:tc>
          <w:tcPr>
            <w:tcW w:w="1062"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Gene</w:t>
            </w:r>
          </w:p>
        </w:tc>
        <w:tc>
          <w:tcPr>
            <w:tcW w:w="701"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Chr</w:t>
            </w:r>
          </w:p>
        </w:tc>
        <w:tc>
          <w:tcPr>
            <w:tcW w:w="1635"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highlight w:val="white"/>
                <w:lang w:val="en-US" w:eastAsia="ru-RU"/>
              </w:rPr>
              <w:t>The radish homolog ID in the NCBI database</w:t>
            </w:r>
          </w:p>
        </w:tc>
        <w:tc>
          <w:tcPr>
            <w:tcW w:w="2103"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SNP</w:t>
            </w:r>
          </w:p>
        </w:tc>
        <w:tc>
          <w:tcPr>
            <w:tcW w:w="7373"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Function in radish</w:t>
            </w:r>
          </w:p>
        </w:tc>
        <w:tc>
          <w:tcPr>
            <w:tcW w:w="958"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Number of homologs in radish</w:t>
            </w:r>
          </w:p>
        </w:tc>
        <w:tc>
          <w:tcPr>
            <w:tcW w:w="1110" w:type="dxa"/>
            <w:tcBorders>
              <w:top w:val="single" w:sz="8"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Reference</w:t>
            </w:r>
          </w:p>
        </w:tc>
      </w:tr>
      <w:tr w:rsidR="00754B51" w:rsidRPr="00754B51" w:rsidTr="00623CB8">
        <w:trPr>
          <w:jc w:val="center"/>
        </w:trPr>
        <w:tc>
          <w:tcPr>
            <w:tcW w:w="15396" w:type="dxa"/>
            <w:gridSpan w:val="8"/>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Cell cycle control</w:t>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CYCJ18</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LOC108830438</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c.718T&gt;C|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p.Ter240Argext*</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Cell division; regulation of cyclin-dependent protein serine/threonine kinase activity; phase transition of the mitotic cell cycle.</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{"citationID":"GX0QiNaa","properties":{"formattedCitation":"[114]","plainCitation":"[114]","noteIndex":0},"citationItems":[{"id":1895,"uris":["http://zotero.org/users/9833672/items/JY3IYERS"],"itemData":{"id":1895,"type":"article-journal","abstract":"A novel cyclin, CycJ18, was isolated by complementation of G1 cyclin-deficient budding yeast with an Arabidopsis cDNA library. CycJ18 shares only 20% identity in its conserved cyclin box domain with other cyclins, and is predominantly expressed in young seedlings. CycJ18 is a member of a potential new plant cyclin class.","container-title":"Biochimica Et Biophysica Acta","DOI":"10.1016/s0167-4889(01)00106-9","ISSN":"0006-3002","issue":"1-2","journalAbbreviation":"Biochim Biophys Acta","language":"eng","note":"number: 1-2\nPMID: 11389963","page":"1-6","source":"PubMed","title":"A novel and highly divergent Arabidopsis cyclin isolated by complementation in budding yeast","volume":"1539","author":[{"family":"Abrahams","given":"S."},{"family":"Cavet","given":"G."},{"family":"Oakenfull","given":"E. A."},{"family":"Carmichael","given":"J. P."},{"family":"Shah","given":"Z. H."},{"family":"Soni","given":"R."},{"family":"Murray","given":"J. A."}],"issued":{"date-parts":[["2001",5,28]]}}}],"schema":"https://github.com/citation-style-language/schema/raw/master/csl-citation.json"}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[114]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PS1L</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9</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LOC108861742</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c.1297G&gt;T|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p.Glu433*</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Orientation of the division spindle in the second division of meiosis, formation of microspore tetrads.</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{"citationID":"nGcQlGCF","properties":{"formattedCitation":"[115]","plainCitation":"[115]","noteIndex":0},"citationItems":[{"id":1894,"uris":["http://zotero.org/users/9833672/items/JIBT4ZPB"],"itemData":{"id":1894,"type":"article-journal","abstract":"Polyploidy has had a considerable impact on the evolution of many eukaryotes, especially angiosperms. Indeed, most—if not all—angiosperms have experienced at least one round of polyploidy during the course of their evolution, and many important crop plants are current polyploids. The occurrence of 2n gametes (diplogametes) in diploid populations is widely recognised as the major source of polyploid formation. However, limited information is available on the genetic control of diplogamete production. Here, we describe the isolation and characterisation of the first gene, AtPS1 (Arabidopsis thaliana Parallel Spindle 1), implicated in the formation of a high frequency of diplogametes in plants. Atps1 mutants produce diploid male spores, diploid pollen grains, and spontaneous triploid plants in the next generation. Female meiosis is not affected in the mutant. We demonstrated that abnormal spindle orientation at male meiosis II leads to diplogamete formation. Most of the parent's heterozygosity is therefore conserved in the Atps1 diploid gametes, which is a key issue for plant breeding. The AtPS1 protein is conserved throughout the plant kingdom and carries domains suggestive of a regulatory function. The isolation of a gene involved in diplogamete production opens the way for new strategies in plant breeding programmes and progress in evolutionary studies., In the life cycle of sexual organisms, meiosis reduces the number of chromosomes from two sets (2n) to one set (n), while fertilization restores the original chromosome number. However, in case of failure of meiosis to reduce the chromosome number, the fecundation involving the obtained 2n gametes can lead to the formation of an organism with more than two sets of chromosomes (polyploid). Polyploidization occurred widely in the course of evolution of eukaryotes, especially of plants. Besides, many crops are current polyploids, and 2n gametes have been useful for their genetic improvement by allowing crosses between 2n and 4n species. 2n gametes formation is known to be under genetic control but none of the genes involved were identified. We have isolated and characterised a gene (AtPS1) involved in controlling diploid (2n) gamete formation in A. thaliana. In the Atps1 mutant, the second division of meiosis is disturbed, leading to the gathering of chromosomes that had been separated at the first division. Consequently, Atps1 mutants produce 2n male gametes and spontaneous triploid plants in the next generation. The isolation of a gene involved in diplogamete production opens the way for new strategies in plant breeding programmes and progress in evolutionary studies.","container-title":"PLoS Genetics","DOI":"10.1371/journal.pgen.1000274","ISSN":"1553-7390","issue":"11","journalAbbreviation":"PLoS Genet","note":"number: 11\nPMID: 19043546\nPMCID: PMC2581889","page":"e1000274","source":"PubMed Central","title":"Mutations in AtPS1 (Arabidopsis thaliana Parallel Spindle 1) Lead to the Production of Diploid Pollen Grains","volume":"4","author":[{"family":"Erfurth","given":"Isabelle","non-dropping-particle":"d'"},{"family":"Jolivet","given":"Sylvie"},{"family":"Froger","given":"Nicole"},{"family":"Catrice","given":"Olivier"},{"family":"Novatchkova","given":"Maria"},{"family":"Simon","given":"Mathieu"},{"family":"Jenczewski","given":"Eric"},{"family":"Mercier","given":"Raphaël"}],"issued":{"date-parts":[["2008",11,28]]}}}],"schema":"https://github.com/citation-style-language/schema/raw/master/csl-citation.json"} </w:instrText>
            </w:r>
            <w:r w:rsidRPr="00754B51">
              <w:rPr>
                <w:rFonts w:ascii="Palatino Linotype" w:eastAsia="Palatino Linotype" w:hAnsi="Palatino Linotype" w:cs="Palatino Linotype"/>
                <w:sz w:val="16"/>
                <w:szCs w:val="16"/>
                <w:lang w:val="en-US" w:eastAsia="ru-RU"/>
              </w:rPr>
              <w:fldChar w:fldCharType="separate"/>
            </w:r>
            <w:r w:rsidRPr="00754B51">
              <w:rPr>
                <w:rFonts w:ascii="Palatino Linotype" w:eastAsia="Palatino Linotype" w:hAnsi="Palatino Linotype" w:cs="Palatino Linotype"/>
                <w:sz w:val="16"/>
                <w:szCs w:val="20"/>
                <w:lang w:val="en-US" w:eastAsia="ru-RU"/>
              </w:rPr>
              <w:t>[115]</w:t>
            </w:r>
            <w:r w:rsidRPr="00754B51">
              <w:rPr>
                <w:rFonts w:ascii="Palatino Linotype" w:eastAsia="Palatino Linotype" w:hAnsi="Palatino Linotype" w:cs="Palatino Linotype"/>
                <w:sz w:val="16"/>
                <w:szCs w:val="16"/>
                <w:lang w:val="en-US"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AUR1</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LOC108819297</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c.1168C&gt;T|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p.Arg390*</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Cytokinesis; formation of microtubule organisation </w:t>
            </w:r>
            <w:proofErr w:type="spellStart"/>
            <w:r w:rsidRPr="00754B51">
              <w:rPr>
                <w:rFonts w:ascii="Palatino Linotype" w:eastAsia="Palatino Linotype" w:hAnsi="Palatino Linotype" w:cs="Palatino Linotype"/>
                <w:sz w:val="16"/>
                <w:szCs w:val="16"/>
                <w:lang w:val="en-US" w:eastAsia="ru-RU"/>
              </w:rPr>
              <w:t>centres</w:t>
            </w:r>
            <w:proofErr w:type="spellEnd"/>
            <w:r w:rsidRPr="00754B51">
              <w:rPr>
                <w:rFonts w:ascii="Palatino Linotype" w:eastAsia="Palatino Linotype" w:hAnsi="Palatino Linotype" w:cs="Palatino Linotype"/>
                <w:sz w:val="16"/>
                <w:szCs w:val="16"/>
                <w:lang w:val="en-US" w:eastAsia="ru-RU"/>
              </w:rPr>
              <w:t>.</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{"citationID":"SOLbXOG8","properties":{"formattedCitation":"[116]","plainCitation":"[116]","noteIndex":0},"citationItems":[{"id":1893,"uris":["http://zotero.org/users/9833672/items/DB9LGQXI"],"itemData":{"id":1893,"type":"article-journal","abstract":"To establish three-dimensional structures/organs, plant cells continuously have to adapt the orientation of their division plane in a highly regulated manner. However, mechanisms underlying switches in division plane orientation remain elusive. Here, we characterize a viable double knockdown mutant in Arabidopsis thaliana group α Aurora (AUR) kinases, AUR1 and AUR2, (aur1-2 aur2-2), with a primary defect in lateral root formation and outgrowth. Mutant analysis revealed that aur1-2 aur2-2 lateral root primordia are built from randomly oriented cell divisions instead of distinct cell layers. This phenotype could be traced back to cytokinesis defects and misoriented cell plates during the initial anticlinal pericycle cell divisions that give rise to lateral root primordia. Complementation assays showed that the Arabidopsis α group Aurora kinases are functionally divergent from the single β group member AUR3 and that AUR1 functions in division plane orientation prior to cytokinesis. In addition to defective lateral root patterning, aur1-2 aur2-2 plants also show defects in orienting formative divisions during embryogenesis, divisions surrounding the main root stem cell niche, and divisions surrounding stomata formation. Taken together, our results put forward a central role for α Aurora kinases in regulating formative division plane orientation throughout development.","container-title":"The Plant Cell","DOI":"10.1105/tpc.111.089565","ISSN":"1532-298X","issue":"11","journalAbbreviation":"Plant Cell","language":"eng","note":"number: 11\nPMID: 22045917\nPMCID: PMC3246319","page":"4013-4024","source":"PubMed","title":"Arabidopsis α Aurora kinases function in formative cell division plane orientation","volume":"23","author":[{"family":"Van Damme","given":"Daniël"},{"family":"De Rybel","given":"Bert"},{"family":"Gudesblat","given":"Gustavo"},{"family":"Demidov","given":"Dmitri"},{"family":"Grunewald","given":"Wim"},{"family":"De Smet","given":"Ive"},{"family":"Houben","given":"Andreas"},{"family":"Beeckman","given":"Tom"},{"family":"Russinova","given":"Eugenia"}],"issued":{"date-parts":[["2011",11]]}}}],"schema":"https://github.com/citation-style-language/schema/raw/master/csl-citation.json"}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[116]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bZIP1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LOC108825955</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c.64C&gt;T|p.Arg22*</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Spatial control of cytokinesis by proper assembly of the </w:t>
            </w:r>
            <w:proofErr w:type="spellStart"/>
            <w:r w:rsidRPr="00754B51">
              <w:rPr>
                <w:rFonts w:ascii="Palatino Linotype" w:eastAsia="Palatino Linotype" w:hAnsi="Palatino Linotype" w:cs="Palatino Linotype"/>
                <w:sz w:val="16"/>
                <w:szCs w:val="16"/>
                <w:lang w:val="en-US" w:eastAsia="ru-RU"/>
              </w:rPr>
              <w:t>phragmoplast</w:t>
            </w:r>
            <w:proofErr w:type="spellEnd"/>
            <w:r w:rsidRPr="00754B51">
              <w:rPr>
                <w:rFonts w:ascii="Palatino Linotype" w:eastAsia="Palatino Linotype" w:hAnsi="Palatino Linotype" w:cs="Palatino Linotype"/>
                <w:sz w:val="16"/>
                <w:szCs w:val="16"/>
                <w:lang w:val="en-US" w:eastAsia="ru-RU"/>
              </w:rPr>
              <w:t>.</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{"citationID":"4eBhNml5","properties":{"formattedCitation":"[117]","plainCitation":"[117]","noteIndex":0},"citationItems":[{"id":1892,"uris":["http://zotero.org/users/9833672/items/RQTTH64Z"],"itemData":{"id":1892,"type":"article-journal","abstract":"Plants are plastic organisms that optimize growth in response to a changing environment. This adaptive capability is regulated by external cues, including light, which provides vital information about the habitat. Phytochrome photoreceptors detect far-red light, indicative of nearby vegetation, and elicit the adaptive shade-avoidance syndrome (SAS), which is critical for plant survival. Plants exhibiting SAS are typically more elongated, with distinctive, small, narrow leaf blades. By applying SAS-inducing end-of-day far-red (EoD FR) treatments at different times during Arabidopsis (Arabidopsis thaliana) leaf 3 development, we have shown that SAS restricts leaf blade size through two distinct cellular strategies. Early SAS induction limits cell division, while later exposure limits cell expansion. This flexible strategy enables phytochromes to maintain control of leaf size through the proliferative and expansion phases of leaf growth. mRNAseq time course data, accessible through a community resource, coupled to a bioinformatics pipeline, identified pathways that underlie these dramatic changes in leaf growth. Phytochrome regulates a suite of major development pathways that control cell division, expansion, and cell fate. Further, phytochromes control cell proliferation through synchronous regulation of the cell cycle, DNA replication, DNA repair, and cytokinesis, and play an important role in sustaining ribosome biogenesis and translation throughout leaf development.","container-title":"Plant Physiology","DOI":"10.1093/plphys/kiab112","ISSN":"1532-2548","issue":"2","journalAbbreviation":"Plant Physiol","language":"eng","note":"number: 2\nPMID: 33693822\nPMCID: PMC8195529","page":"1220-1239","source":"PubMed","title":"Phytochrome regulates cellular response plasticity and the basic molecular machinery of leaf development","volume":"186","author":[{"family":"Romanowski","given":"Andrés"},{"family":"Furniss","given":"James J."},{"family":"Hussain","given":"Ejaz"},{"family":"Halliday","given":"Karen J."}],"issued":{"date-parts":[["2021",6,11]]}}}],"schema":"https://github.com/citation-style-language/schema/raw/master/csl-citation.json"}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[117]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LRX1</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LOC108836486</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c.1638C&gt;A|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p.Tyr546*</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Cell morphogenesis, including root hairs, through cell wall formation and assembly and/or growth </w:t>
            </w:r>
            <w:proofErr w:type="spellStart"/>
            <w:r w:rsidRPr="00754B51">
              <w:rPr>
                <w:rFonts w:ascii="Palatino Linotype" w:eastAsia="Palatino Linotype" w:hAnsi="Palatino Linotype" w:cs="Palatino Linotype"/>
                <w:sz w:val="16"/>
                <w:szCs w:val="16"/>
                <w:lang w:val="en-US" w:eastAsia="ru-RU"/>
              </w:rPr>
              <w:t>polarisation</w:t>
            </w:r>
            <w:proofErr w:type="spellEnd"/>
            <w:r w:rsidRPr="00754B51">
              <w:rPr>
                <w:rFonts w:ascii="Palatino Linotype" w:eastAsia="Palatino Linotype" w:hAnsi="Palatino Linotype" w:cs="Palatino Linotype"/>
                <w:sz w:val="16"/>
                <w:szCs w:val="16"/>
                <w:lang w:val="en-US" w:eastAsia="ru-RU"/>
              </w:rPr>
              <w:t>.</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{"citationID":"mCDXV8A3","properties":{"formattedCitation":"[118]","plainCitation":"[118]","noteIndex":0},"citationItems":[{"id":1891,"uris":["http://zotero.org/users/9833672/items/SSSDIGVS"],"itemData":{"id":1891,"type":"article-journal","abstract":"Background\nLeucine-rich repeat extensins (LRXs) are extracellular proteins consisting of an N-terminal leucine-rich repeat (LRR) domain and a C-terminal extensin domain containing the typical features of this class of structural hydroxyproline-rich glycoproteins (HRGPs). The LRR domain is likely to bind an interaction partner, whereas the extensin domain has an anchoring function to insolubilize the protein in the cell wall. Based on the analysis of the root hair-expressed LRX1 and LRX2 of Arabidopsis thaliana, LRX proteins are important for cell wall development. The importance of LRX proteins in non-root hair cells and on the structural changes induced by mutations in LRX genes remains elusive.\n\nResults\nThe LRX gene family of Arabidopsis consists of eleven members, of which LRX3, LRX4, and LRX5 are expressed in aerial organs, such as leaves and stem. The importance of these LRX genes for plant development and particularly cell wall formation was investigated. Synergistic effects of mutations with gradually more severe growth retardation phenotypes in double and triple mutants suggest a similar function of the three genes. Analysis of cell wall composition revealed a number of changes to cell wall polysaccharides in the mutants.\n\nConclusions\nLRX3, LRX4, and LRX5, and most likel</w:instrText>
            </w:r>
            <w:r w:rsidRPr="00754B51">
              <w:rPr>
                <w:rFonts w:ascii="Palatino Linotype" w:eastAsia="Palatino Linotype" w:hAnsi="Palatino Linotype" w:cs="Palatino Linotype"/>
                <w:sz w:val="16"/>
                <w:szCs w:val="16"/>
                <w:lang w:val="en-US" w:eastAsia="ru-RU"/>
              </w:rPr>
              <w:instrText xml:space="preserve">y LRX proteins in general, are important for cell wall development. Due to the complexity of changes in cell wall structures in the lrx mutants, the exact function of LRX proteins remains to be determined. The increasingly strong growth-defect phenotypes in double and triple mutants suggests that the LRX proteins have similar functions and that they are important for proper plant development.\n\nElectronic supplementary material\nThe online version of this article (doi:10.1186/s12870-015-0548-8) contains supplementary material, which is available to authorized users.","container-title":"BMC Plant Biology","DOI":"10.1186/s12870-015-0548-8","ISSN":"1471-2229","journalAbbreviation":"BMC Plant Biol","note":"PMID: 26099801\nPMCID: PMC4477543","page":"155","source":"PubMed Central","title":"Arabidopsis leucine-rich repeat extensin (LRX) proteins modify cell wall composition and influence plant growth","volume":"15","author":[{"family":"Draeger","given":"Christian"},{"family":"Ndinyanka Fabrice","given":"Tohnyui"},{"family":"Gineau","given":"Emilie"},{"family":"Mouille","given":"Grégory"},{"family":"Kuhn","given":"Benjamin M."},{"family":"Moller","given":"Isabel"},{"family":"Abdou","given":"Marie-Therese"},{"family":"Frey","given":"Beat"},{"family":"Pauly","given":"Markus"},{"family":"Bacic","given":"Antony"},{"family":"Ringli","given":"Christoph"}],"issued":{"date-parts":[["2015",6,24]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[118]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AGP18</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LOC108807296</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c.578C&gt;A|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p.Ser193*</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Differentiation, embryogenesis, and programmed cell death.</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{"citationID":"CXFQZk8H","properties":{"formattedCitation":"[119]","plainCitation":"[119]","noteIndex":0},"citationItems":[{"id":1890,"uris":["http://zotero.org/users/9833672/items/U94RDVZG"],"itemData":{"id":1890,"type":"article-journal","container-title":"The Plant Cell","DOI":"10.1105/tpc.113.250411","ISSN":"1040-4651","issue":"4","journalAbbreviation":"Plant Cell","note":"number: 4\nPMID: null\nPMCID: PMC3663259","page":"1190","source":"PubMed Central","title":"Mirror, Mirror on the Wall: A Role for AGP18 in Functional Megaspore Selection","title-short":"Mirror, Mirror on the Wall","volume":"25","author":[{"family":"Farquharson","given":"Kathleen L."}],"issued":{"date-parts":[["2013",4]]}}}],"schema":"https://github.com/citation-style-language/schema/raw/master/csl-citation.json"}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[119]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COBL11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LOC108841217</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c.574A&gt;T| p.Arg192*</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Pollen tube formation and development.</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{"citationID":"O6WFAMFg","properties":{"formattedCitation":"[120]","plainCitation":"[120]","noteIndex":0},"citationItems":[{"id":1889,"uris":["http://zotero.org/users/9833672/items/9N7J66D4"],"itemData":{"id":1889,"type":"article-journal","abstract":"Successful reproduction of flowering plants requires constant communication between female tissues and growing pollen tubes. Female cells secrete molecules and peptides as nutrients or guidance cues for fast and directional tube growth, which is executed by dynamic changes of intracellular activities within pollen tubes. Compared with the extensive interest in female cues and intracellular activities of pollen tubes, how female cues are sensed and interpreted intracellularly in pollen is poorly understood. We show here that COBL10, a glycosylphosphatidylinositol (GPI)-anchored protein, is one component of this pollen tube internal machinery. Mutations in COBL10 caused gametophytic male sterility due to reduced pollen tube growth and compromised directional sensing in the female transmitting tract. Deposition of the apical pectin cap and cellulose microfibrils was disrupted in cobl10 pollen tubes. Pollen tube localization of COBL10 at the apical plasma membrane is critical for its function and relies on proper GPI processing and its C-terminal hydrophobic residues. GPI-anchored proteins are widespread cell sensors in mammals, especially during egg-sperm communication. Our results that COBL10 is critical for directional growth of pollen tubes suggest that they play critical roles in cell-cell communications in plants.","container-title":"The Plant Journal: For Cell and Molecular Biology","DOI":"10.1111/tpj.12139","ISSN":"1365-313X","issue":"3","journalAbbreviation":"Plant J","language":"eng","note":"number: 3\nPMID: 23384085","page":"486-497","source":"PubMed","title":"Arabidopsis COBRA-LIKE 10, a GPI-anchored protein, mediates directional growth of pollen tubes","volume":"74","author":[{"family":"Li","given":"Sha"},{"family":"Ge","given":"Fu-Rong"},{"family":"Xu","given":"Ming"},{"family":"Zhao","given":"Xin-Ying"},{"family":"Huang","given":"Guo-Qiang"},{"family":"Zhou","given":"Liang-Zi"},{"family":"Wang","given":"Jia-Gang"},{"family":"Kombrink","given":"Anja"},{"family":"McCormick","given":"Sheila"},{"family":"Zhang","given":"Xian Sheng"},{"family":"Zhang","given":"Yan"}],"issued":{"date-parts":[["2013",5]]}}}],"schema":"https://github.com/citation-style-language/schema/raw/master/csl-citation.json"}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5396"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 xml:space="preserve">Metabolism and signalling of </w:t>
            </w:r>
            <w:proofErr w:type="spellStart"/>
            <w:r w:rsidRPr="00754B51">
              <w:rPr>
                <w:rFonts w:ascii="Palatino Linotype" w:eastAsia="Palatino Linotype" w:hAnsi="Palatino Linotype" w:cs="Palatino Linotype"/>
                <w:b/>
                <w:sz w:val="16"/>
                <w:szCs w:val="16"/>
                <w:lang w:val="en-US" w:eastAsia="ru-RU"/>
              </w:rPr>
              <w:t>phytohormones</w:t>
            </w:r>
            <w:proofErr w:type="spellEnd"/>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8</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GRR1-L1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9</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LOC108825013</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c.665A&gt;T|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p.Ter222Leuext*</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Reception of auxin; response to auxin.</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{"citationID":"Qv7Kom7m","properties":{"formattedCitation":"[121]","plainCitation":"[121]","noteIndex":0},"citationItems":[{"id":1888,"uris":["http://zotero.org/users/9833672/items/QBKSJTSH"],"itemData":{"id":1888,"type":"article-journal","abstract":"The plant hormone auxin has been implicated in virtually every aspect of plant growth and development. Auxin acts by promoting the degradation of transcriptional regulators called Aux/IAA proteins. Aux/IAA degradation requires TIR1, an F box protein that has been shown to function as an auxin receptor. However, loss of TIR1 has a modest effect on auxin response and plant development. Here we show that three additional F box proteins, called AFB1, 2, and 3, also regulate auxin response. Like TIR1, these proteins interact with the Aux/IAA proteins in an auxin-dependent manner. Plants that are deficient in all four proteins are auxin insensitive and exhibit a severe embryonic phenotype similar to the mp/arf5 and bdl/iaa12 mutants. Correspondingly, all TIR1/AFB proteins interact with BDL, and BDL is stabilized in triple mutant plants. Our results indicate that TIR1 and the AFB proteins collectively mediate auxin responses throughout plant development.","container-title":"Developmental Cell","DOI":"10.1016/j.devcel.2005.05.014","ISSN":"1534-5807","issue":"1","journalAbbreviation":"Dev Cell","language":"eng","note":"number: 1\nPMID: 15992545","page":"109-119","source":"PubMed","title":"Plant development is regulated by a family of auxin receptor F box proteins","volume":"9","author":[{"family":"Dharmasiri","given":"Nihal"},{"family":"Dharmasiri","given":"Sunethra"},{"family":"Weijers","given":"Dolf"},{"family":"Lechner","given":"Esther"},{"family":"Yamada","given":"Masashi"},{"family":"Hobbie","given":"Lawrence"},{"family":"Ehrismann","given":"Jasmin S."},{"family":"Jürgens","given":"Gerd"},{"family":"Estelle","given":"Mark"}],"issued":{"date-parts":[["2005",7]]}}}],"schema":"https://github.com/citation-style-language/schema/raw/master/csl-citation.json"}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5396" w:type="dxa"/>
            <w:gridSpan w:val="8"/>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Regulation of gene expression</w:t>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9</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CHR35</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LOC108862654</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c.2327T&gt;A|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p.Leu776*</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Epigenetic control of RNA-directed DNA methylation.</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{"citationID":"vJOAUPR3","properties":{"formattedCitation":"[122]","plainCitation":"[122]","noteIndex":0},"citationItems":[{"id":1887,"uris":["http://zotero.org/users/9833672/items/UM33ISMS"],"itemData":{"id":1887,"type":"article-journal","abstract":"Leaf senescence is a finely regulated complex process; however, evidence for the involvement of epigenetic processes in the regulation of leaf senescence is still fragmentary. Therefore, we chose to examine the functions of DRD1, a SWI2/SNF2 chromatin remodeling protein, in epigenetic regulation of leaf senescence, particularly because drd1-6 mutants exhibited a delayed leaf senescence phenotype. Photosynthetic parameters such as Fv/Fm and ETRmax were decreased in WT leaves compared to leaves of drd1-6 mutants after dark treatment. The WT leaves remarkably lost more chlorophyll and protein content during dark-induced senescence (DIS) than the drd1-6 leaves did. The induction of senescence-associated genes was noticeably inhibited in the drd1-6 mutant after 5-d of DIS. We compared changes in epigenetic regulation during DIS via quantitative expression analysis of 180-bp centromeric (CEN) and transcriptionally silent information (TSI) repeats. Their expression levels significantly increased in both the WT and the drd1-6 mutant, but did much less in the latter. Moreover, the delayed leaf senescence was observed in ddm1-2 mutants as well as the drd1-6, but not in drd1-p mutants. These data suggest that SWI2/SNF2 chromatin remodeling proteins such as DRD1 and DDM1 may influence leaf senescence possibly via epigenetic regulation.","container-title":"PloS One","DOI":"10.1371/journal.pone.0146826","ISSN":"1932-6203","issue":"1","journalAbbreviation":"PLoS One","language":"eng","note":"number: 1\nPMID: 26752684\nPMCID: PMC4709239","page":"e0146826","source":"PubMed","title":"A Mutation in Plant-Specific SWI2/SNF2-Like Chromatin-Remodeling Proteins, DRD1 and DDM1, Delays Leaf Senescence in Arabidopsis thaliana","volume":"11","author":[{"family":"Cho","given":"Eun Ju"},{"family":"Choi","given":"Seung Hee"},{"family":"Kim","given":"Ji Hong"},{"family":"Kim","given":"Ji Eun"},{"family":"Lee","given":"Min Hee"},{"family":"Chung","given":"Byung Yeoup"},{"family":"Woo","given":"Hye Ryun"},{"family":"Kim","given":"Jin-Hong"}],"issued":{"date-parts":[["2016"]]}}}],"schema":"https://github.com/citation-style-language/schema/raw/master/csl-citation.json"}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10</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CMT1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LOC108807343</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c.902G&gt;C|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p.Ter301Ser*</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proofErr w:type="spellStart"/>
            <w:r w:rsidRPr="00754B51">
              <w:rPr>
                <w:rFonts w:ascii="Palatino Linotype" w:eastAsia="Palatino Linotype" w:hAnsi="Palatino Linotype" w:cs="Palatino Linotype"/>
                <w:sz w:val="16"/>
                <w:szCs w:val="16"/>
                <w:lang w:val="en-US" w:eastAsia="ru-RU"/>
              </w:rPr>
              <w:t>CpXpG</w:t>
            </w:r>
            <w:proofErr w:type="spellEnd"/>
            <w:r w:rsidRPr="00754B51">
              <w:rPr>
                <w:rFonts w:ascii="Palatino Linotype" w:eastAsia="Palatino Linotype" w:hAnsi="Palatino Linotype" w:cs="Palatino Linotype"/>
                <w:sz w:val="16"/>
                <w:szCs w:val="16"/>
                <w:lang w:val="en-US" w:eastAsia="ru-RU"/>
              </w:rPr>
              <w:t xml:space="preserve"> methylation; gene silencing.</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{"citationID":"ar84jjiz","properties":{"formattedCitation":"[123]","plainCitation":"[123]","noteIndex":0},"citationItems":[{"id":1886,"uris":["http://zotero.org/users/9833672/items/5TEEYPYV"],"itemData":{"id":1886,"type":"article-journal","abstract":"BACKGROUND: The Chromomethylase 1 (CMT1) has long been considered a nonessential gene because, in certain Arabidopsis ecotypes, the CMT1 gene is disrupted by the Evelknievel (EK) retroelement, inserted within exon 13, or contains frameshift mutations, resulting in a truncated, non-functional protein. In contrast to other transposable elements, no transcriptional activation of EK was observed under stress conditions (e.g., protoplasting).\nRESULTS: We wanted to explore the regulatory pathway responsible for EK silencing in the Ler ecotype and its effect on CMT1 transcription. Methylome databases confirmed that EK retroelement is heavily methylated and methylation is extended toward CMT1 downstream region. Strong transcriptional activation of EK accompanied by significant reduction in non-CG methylation was found in cmt3 and kyp2, but not in ddm1 or RdDM mutants. EK activation in cmt3 and kyp2 did not interfere with upstream CMT1 expression but abolish transcription through the EK. We identified, in wild-type Ler, three spliced variants in which the entire EK is spliced out; one variant (25% of splicing incidents) facilitates proper reconstitution of an intact CMT1 mRNA. We could recover very low amount of the full-length CMT1 mRNA from WT Ler and Col, but not from cmt3 mutant.\nCONCLUSIONS: Our findings highlight CMT3-SUVH4/KYP as the major pathway silencing the intragenic EK via inducing non-CG methylation. Furthermore, retroelement insertion within exons (e.g., CMT1) may not lead to a complete abolishment of the gene product when the element is kept silent. Rather the element can be spliced out to bring about reconstruction of an intact, functional mRNA and possibly retrieval of an active protein.","container-title":"Epigenetics &amp; Chromatin","DOI":"10.1186/s13072-018-0240-y","ISSN":"1756-8935","issue":"1","journalAbbreviation":"Epigenetics Chromatin","language":"eng","note":"number: 1\nPMID: 30446008\nPMCID: PMC6238269","page":"69","source":"PubMed","title":"CMT3 and SUVH4/KYP silence the exonic Evelknievel retroelement to allow for reconstitution of CMT1 mRNA","volume":"11","author":[{"family":"Yadav","given":"Narendra Singh"},{"family":"Khadka","given":"Janardan"},{"family":"Domb","given":"Katherine"},{"family":"Zemach","given":"Assaf"},{"family":"Grafi","given":"Gideon"}],"issued":{"date-parts":[["2018",11,16]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11</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WOX2</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LOC108841333</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c.1204A&gt;T|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p.Arg402*</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Embryonic pattern formation.</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{"citationID":"G8LbKfYL","properties":{"formattedCitation":"[72]","plainCitation":"[72]","noteIndex":0},"citationItems":[{"id":1937,"uris":["http://zotero.org/users/9833672/items/AIPHNEFZ"],"itemData":{"id":1937,"type":"article-journal","abstract":"In this study, we characterized the function of WUSCHEL-RELATED HOMEOBOX 2 (WOX2) using overexpression, CRES-T, and VP16 fusion techniques. Although the function of WOX2 has been described mainly in embryogenesis, it was unclear whether it also plays a role in the post-embryogenic developmental stage. We found that WOX2 has transcriptional repression activity and that either overexpression of WOX2 or expression of its chimeric repressor causes severe growth defects and other morphological phenotypes by impairing plant organ formation and separation. By contrast, VP16-fused WOX2-expressing plants did not display such severe phenotypic defects. In addition, some of them displayed phenotypic defects such as fusion of organs and induction of undifferentiated cells in the boundary regions of organs where GUS staining was clearly observed in the proWOX2:GUS transgenic plants. We suggest that WOX2 is involved in regulation of lateral organ formation and separation during the post-embryogenic development processes.","container-title":"Plant Biotechnology (Tokyo, Japan)","DOI":"10.5511/plantbiotechnology.16.0202a","ISSN":"1342-4580","issue":"4","journalAbbreviation":"Plant Biotechnol (Tokyo)","language":"eng","note":"number: 4\nPMID: 31274988\nPMCID: PMC6565944","page":"245-253","source":"PubMed","title":"WUSCHEL-RELATED HOMEOBOX 2 is a transcriptional repressor involved in lateral organ formation and separation in Arabidopsis","volume":"33","author":[{"family":"Chung","given":"KwiMi"},{"family":"Sakamoto","given":"Shingo"},{"family":"Mitsuda","given":"Nobutaka"},{"family":"Suzuki","given":"Kaoru"},{"family":"Ohme-Takagi","given":"Masaru"},{"family":"Fujiwara","given":"Sumire"}],"issued":{"date-parts":[["2016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12</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bZIP44</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7</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LOC108814136</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c.415T&gt;C|</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p.Ter139Glnext*</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Regulation of seed germination by loosening of </w:t>
            </w:r>
            <w:proofErr w:type="spellStart"/>
            <w:r w:rsidRPr="00754B51">
              <w:rPr>
                <w:rFonts w:ascii="Palatino Linotype" w:eastAsia="Palatino Linotype" w:hAnsi="Palatino Linotype" w:cs="Palatino Linotype"/>
                <w:sz w:val="16"/>
                <w:szCs w:val="16"/>
                <w:lang w:val="en-US" w:eastAsia="ru-RU"/>
              </w:rPr>
              <w:t>micropylar</w:t>
            </w:r>
            <w:proofErr w:type="spellEnd"/>
            <w:r w:rsidRPr="00754B51">
              <w:rPr>
                <w:rFonts w:ascii="Palatino Linotype" w:eastAsia="Palatino Linotype" w:hAnsi="Palatino Linotype" w:cs="Palatino Linotype"/>
                <w:sz w:val="16"/>
                <w:szCs w:val="16"/>
                <w:lang w:val="en-US" w:eastAsia="ru-RU"/>
              </w:rPr>
              <w:t xml:space="preserve"> endosperm and seed coat rupture.</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{"citationID":"QDlHz5FB","properties":{"formattedCitation":"[124]","plainCitation":"[124]","noteIndex":0},"citationItems":[{"id":1884,"uris":["http://zotero.org/users/9833672/items/6ZTTFMJ7"],"itemData":{"id":1884,"type":"article-journal","abstract":"Endo-β-mannanases (MAN; EC. 3.2.1.78) catalyze the cleavage of β1</w:instrText>
            </w:r>
            <w:r w:rsidRPr="00754B51">
              <w:rPr>
                <w:rFonts w:ascii="Times New Roman" w:eastAsia="Palatino Linotype" w:hAnsi="Times New Roman" w:cs="Times New Roman"/>
                <w:sz w:val="16"/>
                <w:szCs w:val="16"/>
                <w:lang w:eastAsia="ru-RU"/>
              </w:rPr>
              <w:instrText>→</w:instrText>
            </w:r>
            <w:r w:rsidRPr="00754B51">
              <w:rPr>
                <w:rFonts w:ascii="Palatino Linotype" w:eastAsia="Palatino Linotype" w:hAnsi="Palatino Linotype" w:cs="Palatino Linotype"/>
                <w:sz w:val="16"/>
                <w:szCs w:val="16"/>
                <w:lang w:eastAsia="ru-RU"/>
              </w:rPr>
              <w:instrText xml:space="preserve">4 bonds in mannan polymers and have been associated with the process of weakening the tissues surrounding the embryo during seed germination. In germinating Arabidopsis thaliana seeds, the most highly expressed MAN gene is AtMAN7 and its transcripts are restricted to the micropylar endosperm and to the radicle tip just before radicle emergence. Mutants with a T-DNA insertion in AtMAN7 have a slower germination than the wild type. To gain insight into the transcriptional regulation of the AtMAN7 gene, a bioinformatic search for conserved non-coding cis-elements (phylogenetic shadowing) within the Brassicaceae MAN7 gene promoters has been done, and these conserved motifs have been used as bait to look for their interacting transcription factors (TFs), using as a prey an arrayed yeast library from A. thaliana. The basic-leucine zipper TF AtbZIP44, but not the closely related AtbZIP11, has thus been identified and its transcriptional activation upon AtMAN7 has been validated at the molecular level. In the knock-out lines of AtbZIP44, not only is the expression of the AtMAN7 gene drastically reduced, but these mutants have a significantly slower germination than the wild type, being affected in the two phases of the germination process, both in the rupture of the seed coat and in the breakage of the micropylar endosperm cell walls. In the over-expression lines the opposite phenotype is observed.","container-title":"The Plant Journal: For Cell and Molecular Biology","DOI":"10.1111/tpj.12162","ISSN":"1365-313X","issue":"5","journalAbbreviation":"Plant J","language":"eng","note":"number: 5\nPMID: 23461773","page":"767-780","source":"PubMed","title":"Arabidopsis thaliana bZIP44: a transcription factor affecting seed germination and expression of the mannanase-encoding gene AtMAN7","title-short":"Arabidopsis thaliana bZIP44","volume":"74","author":[{"family":"Iglesias-Fernández","given":"Raquel"},{"family":"Barrero-Sicilia","given":"Cristina"},{"family":"Carrillo-Barral","given":"Néstor"},{"family":"Oñate-Sánchez","given":"Luis"},{"family":"Carbonero","given":"Pilar"}],"issued":{"date-parts":[["2013",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13</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ARF21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9</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LOC108822118</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c.487A&gt;T|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p.Lys163*</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auxin.</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{"citationID":"JaaU5YFW","properties":{"formattedCitation":"[125]","plainCitation":"[125]","noteIndex":0},"citationItems":[{"id":1883,"uris":["http://zotero.org/users/9833672/items/4PV899Q4"],"itemData":{"id":1883,"type":"article-journal","abstract":"A molecular approach to investigate auxin signaling in plants has led to the identification of several classes of early/primary auxin response genes. Within the promoters of these genes, cis elements that confer auxin responsiveness (referred to as auxin-response elements or AuxREs) have been defined, and a family of trans-acting transcription factors (auxin-response factors or ARFs) that bind with specificity to AuxREs has been characterized. A family of auxin regulated proteins referred to as Aux/IAA proteins also play a key role in regulating these auxin-response genes. Auxin may regulate transcription on early response genes by influencing the types of interactions between ARFs and Aux/IAAs.","container-title":"Plant Molecular Biology","ISSN":"0167-4412","issue":"3-4","journalAbbreviation":"Plant Mol Biol","language":"eng","note":"number: 3-4\nPMID: 12036261","page":"373-385","source":"PubMed","title":"Auxin-responsive gene expression: genes, promoters and regulatory factors","title-short":"Auxin-responsive gene expression","volume":"49","author":[{"family":"Hagen","given":"Gretchen"},{"family":"Guilfoyle","given":"Tom"}],"issued":{"date-parts":[["2002"]]}}}],"schema":"https://github.com/citation-style-language/schema/raw/master/csl-citation.json"}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14</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NAC017</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LOC108856330</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c.2T&gt;C|p.Met1</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Response to stress.</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{"citationID":"0CFIto12","properties":{"formattedCitation":"[126]","plainCitation":"[126]","noteIndex":0},"citationItems":[{"id":1882,"uris":["http://zotero.org/users/9833672/items/A99EIWD8"],"itemData":{"id":1882,"type":"article-journal","abstract":"Mitochondria adjust their activities in response to external and internal stimuli to optimize growth via the mitochondrial retrograde response signaling pathway. The Arabidopsis (Arabidopsis thaliana) NAC domain transcription factor ANAC017 has previously been identified as a regulator of the mitochondrial retrograde response. We show here that overexpression of ANAC017 in Arabidopsis leads to growth retardation, altered leaf development with decreased cell size and viability, and early leaf senescence. RNA sequencing analyses revealed that increased ANAC017 expression leads to higher expression of genes related to mitochondrial stress, cell death/autophagy, and leaf senescence under nonlimiting growth conditions as well as extensive repression of chloroplast function. Gene regulatory network analysis indicated that a complex hierarchy of transcription factors exists downstream of ANAC017. These involve a set of up-regulated ANAC and WRKY transcription factors associated with organellar signaling and senescence. The network also includes a number of ethylene- and gibberellic acid-related transcription factors with established functions in stress responses and growth regulation, which down-regulate their targ</w:instrText>
            </w:r>
            <w:r w:rsidRPr="00754B51">
              <w:rPr>
                <w:rFonts w:ascii="Palatino Linotype" w:eastAsia="Palatino Linotype" w:hAnsi="Palatino Linotype" w:cs="Palatino Linotype"/>
                <w:sz w:val="16"/>
                <w:szCs w:val="16"/>
                <w:lang w:val="en-US" w:eastAsia="ru-RU"/>
              </w:rPr>
              <w:instrText xml:space="preserve">et genes. A number of BASIC LEUCINE-ZIPPER MOTIF transcription factors involved in the endoplasmic reticulum unfolded protein response or balancing of energy homeostasis via the SNF1-RELATED PROTEIN KINASE1 were also down-regulated by ANAC017 overexpression. Our results show that the endoplasmic reticulum membrane tethering of the constitutively expressed ANAC017, and its controlled release, are crucial to fine-tune a fast reactive but potentially harmful signaling cascade. Thus, ANAC017 is a master regulator of cellular responses with mitochondria acting as central sensors.","container-title":"Plant Physiology","DOI":"10.1104/pp.18.01603","ISSN":"1532-2548","issue":"1","journalAbbreviation":"Plant Physiol","language":"eng","note":"number: 1\nPMID: 30872424\nPMCID: PMC6501098","page":"634-653","source":"PubMed","title":"ANAC017 Coordinates Organellar Functions and Stress Responses by Reprogramming Retrograde Signaling","volume":"180","author":[{"family":"Meng","given":"Xiangxiang"},{"family":"Li","given":"Lu"},{"family":"De Clercq","given":"Inge"},{"family":"Narsai","given":"Reena"},{"family":"Xu","given":"Yue"},{"family":"Hartmann","given":"Andreas"},{"family":"Claros","given":"Diego Lozano"},{"family":"Custovic","given":"Eddie"},{"family":"Lewsey","given":"Mathew G."},{"family":"Whelan","given":"James"},{"family":"Berkowitz","given":"Oliver"}],"issued":{"date-parts":[["2019",5]]}}}],"schema":"https://github.com/citation-style-language/schema/raw/master/csl-citation.json"}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[126]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15</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MYB104L</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LOC108810575</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c.448C&gt;T|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p.Gln150*</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proofErr w:type="spellStart"/>
            <w:r w:rsidRPr="00754B51">
              <w:rPr>
                <w:rFonts w:ascii="Palatino Linotype" w:eastAsia="Palatino Linotype" w:hAnsi="Palatino Linotype" w:cs="Palatino Linotype"/>
                <w:sz w:val="16"/>
                <w:szCs w:val="16"/>
                <w:lang w:val="en-US" w:eastAsia="ru-RU"/>
              </w:rPr>
              <w:t>Microgametogenesis</w:t>
            </w:r>
            <w:proofErr w:type="spellEnd"/>
            <w:r w:rsidRPr="00754B51">
              <w:rPr>
                <w:rFonts w:ascii="Palatino Linotype" w:eastAsia="Palatino Linotype" w:hAnsi="Palatino Linotype" w:cs="Palatino Linotype"/>
                <w:sz w:val="16"/>
                <w:szCs w:val="16"/>
                <w:lang w:val="en-US" w:eastAsia="ru-RU"/>
              </w:rPr>
              <w:t xml:space="preserve">, development of </w:t>
            </w:r>
            <w:proofErr w:type="spellStart"/>
            <w:r w:rsidRPr="00754B51">
              <w:rPr>
                <w:rFonts w:ascii="Palatino Linotype" w:eastAsia="Palatino Linotype" w:hAnsi="Palatino Linotype" w:cs="Palatino Linotype"/>
                <w:sz w:val="16"/>
                <w:szCs w:val="16"/>
                <w:lang w:val="en-US" w:eastAsia="ru-RU"/>
              </w:rPr>
              <w:t>polarised</w:t>
            </w:r>
            <w:proofErr w:type="spellEnd"/>
            <w:r w:rsidRPr="00754B51">
              <w:rPr>
                <w:rFonts w:ascii="Palatino Linotype" w:eastAsia="Palatino Linotype" w:hAnsi="Palatino Linotype" w:cs="Palatino Linotype"/>
                <w:sz w:val="16"/>
                <w:szCs w:val="16"/>
                <w:lang w:val="en-US" w:eastAsia="ru-RU"/>
              </w:rPr>
              <w:t xml:space="preserve"> microspores.</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{"citationID":"LPaSfRPE","properties":{"formattedCitation":"[127]","plainCitation":"[127]","noteIndex":0},"citationItems":[{"id":1881,"uris":["http://zotero.org/users/9833672/items/V2ZXTI46"],"itemData":{"id":1881,"type":"article-journal","abstract":"Sexual reproduction in flowering plants relies on the production of haploid gametophytes that consist of germline and supporting cells. During male gametophyte development, the asymmetric mitotic division of an undetermined unicellular microspore segregates these two cell lineages. To explore genetic regulation underlying this process, we screened for pollen cell patterning mutants and isolated the heterozygous myb81-1 mutant that sheds ~50% abnormal pollen. Typically, myb81-1 microspores fail to undergo pollen mitosis I (PMI) and arrest at polarized stage with a single central vacuole. Although most myb81-1 microspores degenerate without division, a small fraction divides at later stages and fails to acquire correct cell fates. The myb81-1 allele is transmitted normally through the female, but rarely through pollen. We show that myb81-1 phenotypes result from impaired function of the GAMYB transcription factor MYB81. The MYB81 promoter shows microspore-specific activity and a MYB81-RFP fusion protein is only expressed in a narrow window prior to PMI. Ectopic expression of MYB81 driven by various promoters can severely impair vegetative or reproductive development, reflecting the strict microspore-specific control of MYB81. Our data demonstrate that MYB81 has a key role in the developmental progression of microspores, enabling formation of the two male cell lineages that are essential for sexual reproduction in Arabidopsis.","container-title":"The Plant Journal: For Cell and Molecular Biology","DOI":"10.1111/tpj.14564","ISSN":"1365-313X","issue":"3","journalAbbreviation":"Plant J","language":"eng","note":"number: 3\nPMID: 31610057","page":"590-603","source":"PubMed","title":"MYB81, a microspore-specific GAMYB transcription factor, promotes pollen mitosis I and cell lineage formation in Arabidopsis","volume":"101","author":[{"family":"Oh","given":"Sung-Aeong"},{"family":"Hoai","given":"Thuong Nguyen Thi"},{"family":"Park","given":"Hyo-Jin"},{"family":"Zhao","given":"Mingmin"},{"family":"Twell","given":"David"},{"family":"Honys","given":"David"},{"family":"Park","given":"Soon-Ki"}],"issued":{"date-parts":[["2020",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16</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NF-YB8</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LOC108844481</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c.566A&gt;T|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p.Ter189Leuext*</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Control of flowering time; flavonoid biosynthesis.</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{"citationID":"SGy3dlHd","properties":{"formattedCitation":"[128]","plainCitation":"[128]","noteIndex":0},"citationItems":[{"id":1880,"uris":["http://zotero.org/users/9833672/items/5VB3J9RP"],"itemData":{"id":1880,"type":"article-journal","abstract":"NF-Y transcription factors are reported to play diverse roles in a wide range of biological processes in plants. However, only a few active NF-Y complexes are known in plants and the precise functions of NF-Y complexes in flavonoid biosynthesis have not been determined. Using various molecular, genetic and biochemical approaches, we found that NF-YB8a, NF-YB8b and NF-YB8c - a NF-YB subgroup - can interact with a specific subgroup of NF-YC and then recruit either of two distinct NF-YAs to form NF-Y complexes that bind the CCAAT element in the CHS1 promoter. Furthermore, suppressing the expression of particular NF-YB genes increased the levels of H3K27me3 at the CHS1 locus and significantly suppressed the expression of CHS1 during tomato fruit ripening, which led to the development of pink-coloured fruit with colourless peels. Altogether, by demonstrating that NF-Y transcription factors play essential roles in flavonoid biosynthesis and by providing significant molecular insight into the regulatory mechanisms that drive the development of pink-coloured tomato fruit, we provide a major advance to our fundamental knowledge and information that has considerable practical value for horticulture.","container-title":"The New Phytologist","DOI":"10.1111/nph.17112","ISSN":"1469-8137","issue":"6","journalAbbreviation":"New Phytol","language":"eng","note":"number: 6\nPMID: 33247457","page":"3237-3252","source":"PubMed","title":"NF-Y plays essential roles in flavonoid biosynthesis by modulating histone modifications in tomato","volume":"229","author":[{"family":"Wang","given":"Jiafa"},{"family":"Li","given":"Guobin"},{"family":"Li","given":"Changxing"},{"family":"Zhang","given":"Chunli"},{"family":"Cui","given":"Long"},{"family":"Ai","given":"Guo"},{"family":"Wang","given":"Xin"},{"family":"Zheng","given":"Fangyan"},{"family":"Zhang","given":"Dedi"},{"family":"Larkin","given":"Robert M."},{"family":"Ye","given":"Zhibiao"},{"family":"Zhang","given":"Junhong"}],"issued":{"date-parts":[["2021",3]]}}}],"schema":"https://github.com/citation-style-language/schema/raw/master/csl-citation.json"}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lastRenderedPageBreak/>
              <w:t>17</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WRKY55L</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LOC130509746</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c.363G&gt;A|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p.Trp121*</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Regulation of leaf senescence through control of salicylic acid and AFC accumulation.</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{"citationID":"6Gw9PrBF","properties":{"formattedCitation":"[129]","plainCitation":"[129]","noteIndex":0},"citationItems":[{"id":1879,"uris":["http://zotero.org/users/9833672/items/UWX5NRK2"],"itemData":{"id":1879,"type":"article-journal","abstract":"Reactive oxygen species (ROS) and salicylic acid (SA) are two factors regulating leaf senescence and defense against pathogens. However, how a single gene integrates both ROS and SA pathways remains poorly understood. Here, we show that Arabidopsis WRKY55 transcription factor positively regulates ROS and SA accumulation, and thus leaf senescence and resistance against the bacterial pathogen Pseudomonas syringaeWRKY55 is predominantly expressed in senescent leaves and encodes a transcriptional activator localized to nuclei. Both inducible and constitutive overexpression of WRKY55 accelerates leaf senescence, whereas mutants delay it. Transcriptomic sequencing identified 1448 differentially expressed genes, of which 1157 genes are upregulated by WRKY55 expression. Accordingly, the ROS and SA contents in WRKY55-overexpressing plants are higher than those in control plants, whereas the opposite occurs in mutants. Moreover, WRKY55 positively regulates defense against P. syringae Finally, we show that WRKY55 activates the expression of RbohD, ICS1, PBS3 and SAG13 by binding directly to the W-box-containing fragments. Taken together, our work has identified a new WRKY transcription factor that integrates both ROS and SA pathways to regulate leaf senescence and pathogen resistance.","container-title":"Development (Cambridge, England)","DOI":"10.1242/dev.189647","ISSN":"1477-9129","issue":"16","journalAbbreviation":"Development","language":"eng","note":"number: 16\nPMID: 32680933","page":"dev189647","source":"PubMed","title":"WRKY55 transcription factor positively regulates leaf senescence and the defense response by modulating the transcription of genes implicated in the biosynthesis of reactive oxygen species and salicylic acid in Arabidopsis","volume":"147","author":[{"family":"Wang","given":"Yiqiao"},{"family":"Cui","given":"Xing"},{"family":"Yang","given":"Bo"},{"family":"Xu","given":"Shutao"},{"family":"Wei","given":"Xiangyan"},{"family":"Zhao","given":"Peiyu"},{"family":"Niu","given":"Fangfang"},{"family":"Sun","given":"Mengting"},{"family":"Wang","given":"Chen"},{"family":"Cheng","given":"Hao"},{"family":"Jiang","given":"Yuan-Qing"}],"issued":{"date-parts":[["2020",8,18]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[129]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18</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ERF119</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LOC108833429</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c.841T&gt;G|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p.Ter281Gluext*</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Regulation of gene expression by stress factors and components of stress-mediated signal transduction pathways; formation of secondary cell wall.</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{"citationID":"4tytPYXK","properties":{"formattedCitation":"[130]","plainCitation":"[130]","noteIndex":0},"citationItems":[{"id":1878,"uris":["http://zotero.org/users/9833672/items/89J63VLJ"],"itemData":{"id":1878,"type":"article-journal","abstract":"Thickening of tree stems is the result of secondary growth, accomplished by the meristematic activity of the vascular cambium. Secondary growth of the stem entails developmental cascades resulting in the formation of secondary phloem outwards and secondary xylem (i.e., wood) inwards of the stem. Signaling and transcriptional reprogramming by the phytohormone ethylene modifies cambial growth and cell differentiation, but the molecular link between ethylene and secondary growth remains unknown. We addressed this shortcoming by analyzing expression profiles and co-expression networks of ethylene pathway genes using the AspWood transcriptome database which covers all stages of secondary growth in aspen (Populus tremula) stems. ACC synthase expression suggests that the ethylene precursor 1-aminocyclopropane-1-carboxylic acid (ACC) is synthesized during xylem expansion and xylem cell maturation. Ethylene-mediated transcriptional reprogramming occurs during all stages of secondary growth, as deduced from AspWood expression profiles of ethylene-responsive genes. A network centrality analysis of the AspWood dataset identified EIN3D and 11 ERFs as hubs. No overlap was found between the co-expressed genes of the EIN3 and ERF hubs, suggesting target diversification and hence independent roles for these transcription factor families during normal wood formation. The EIN3D hub was part of a</w:instrText>
            </w:r>
            <w:r w:rsidRPr="00754B51">
              <w:rPr>
                <w:rFonts w:ascii="Palatino Linotype" w:eastAsia="Palatino Linotype" w:hAnsi="Palatino Linotype" w:cs="Palatino Linotype"/>
                <w:sz w:val="16"/>
                <w:szCs w:val="16"/>
                <w:lang w:val="en-US" w:eastAsia="ru-RU"/>
              </w:rPr>
              <w:instrText xml:space="preserve"> large co-expression gene module, which contained 16 transcription factors, among them several new candidates that have not been earlier connected to wood formation and a VND-INTERACTING 2 (VNI2) homolog. We experimentally demonstrated Populus EIN3D function in ethylene signaling in Arabidopsis thaliana. The ERF hubs ERF118 and ERF119 were connected on the basis of their expression pattern and gene co-expression module composition to xylem cell expansion and secondary cell wall formation, respectively. We hereby establish data resources for ethylene-responsive genes and potential targets for EIN3D and ERF transcription factors in Populus stem tissues, which can help to understand the range of ethylene targeted biological processes during secondary growth.","container-title":"Frontiers in Plant Science","DOI":"10.3389/fpls.2018.00272","ISSN":"1664-462X","journalAbbreviation":"Front Plant Sci","language":"eng","note":"PMID: 29593753\nPMCID: PMC5861219","page":"272","source":"PubMed","title":"Ethylene-Related Gene Expression Networks in Wood Formation","volume":"9","author":[{"family":"Seyfferth","given":"Carolin"},{"family":"Wessels","given":"Bernard"},{"family":"Jokipii-Lukkari","given":"Soile"},{"family":"Sundberg","given":"Björn"},{"family":"Delhomme","given":"Nicolas"},{"family":"Felten","given":"Judith"},{"family":"Tuominen","given":"Hannele"}],"issued":{"date-parts":[["2018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[130]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19</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ARR21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LOC108846809</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c.1694C&gt;G|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p.Ser565*</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B-type response regulator involved in a </w:t>
            </w:r>
            <w:proofErr w:type="spellStart"/>
            <w:r w:rsidRPr="00754B51">
              <w:rPr>
                <w:rFonts w:ascii="Palatino Linotype" w:eastAsia="Palatino Linotype" w:hAnsi="Palatino Linotype" w:cs="Palatino Linotype"/>
                <w:sz w:val="16"/>
                <w:szCs w:val="16"/>
                <w:lang w:val="en-US" w:eastAsia="ru-RU"/>
              </w:rPr>
              <w:t>phosphorelay</w:t>
            </w:r>
            <w:proofErr w:type="spellEnd"/>
            <w:r w:rsidRPr="00754B51">
              <w:rPr>
                <w:rFonts w:ascii="Palatino Linotype" w:eastAsia="Palatino Linotype" w:hAnsi="Palatino Linotype" w:cs="Palatino Linotype"/>
                <w:sz w:val="16"/>
                <w:szCs w:val="16"/>
                <w:lang w:val="en-US" w:eastAsia="ru-RU"/>
              </w:rPr>
              <w:t>-type signal transduction system from His to Asp. Activates A-type RR in response to CK.</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{"citationID":"1lQBla7x","properties":{"formattedCitation":"[74]","plainCitation":"[74]","noteIndex":0},"citationItems":[{"id":1859,"uris":["http://zotero.org/users/9833672/items/JTEAEIBU"],"itemData":{"id":1859,"type":"article-journal","container-title":"Molecular and Physiological Characterisation of an Insertion Mutant in the ARR21 Putative Response Regulator Gene from Arabidopsis thaliana","DOI":"doi: 10.1055/s-2003-40789","journalAbbreviation":"Plant Biol.","page":"245–254","title":"Molecular and Physiological Characterisation of an Insertion Mutant in the ARR21 Putative Response Regulator Gene from Arabidopsis thaliana","volume":"5","author":[{"family":"Horák","given":"J"},{"family":"Brzobohatý","given":"B"},{"family":"Lexa","given":"M"}],"issued":{"date-parts":[["2003"]]}}}],"schema":"https://github.com/citation-style-language/schema/raw/master/csl-citation.json"}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[74]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20</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REM5</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LOC130494531</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c.392G&gt;T|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p.Ter131Leut*</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Vesicular transport.</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{"citationID":"jJhQMvk1","properties":{"formattedCitation":"[131]","plainCitation":"[131]","noteIndex":0},"citationItems":[{"id":1877,"uris":["http://zotero.org/users/9833672/items/3GXGPQQA"],"itemData":{"id":1877,"type":"article-journal","abstract":"Vesicle transport is a central process to ensure protein and lipid distribution in eukaryotic cells. The current knowledge on the molecular components and mechanisms of this process is majorly based on studies in Saccharomyces cerevisiae and Arabidopsis thaliana, which revealed 240 different proteinaceous factors either experimentally proven or predicted to be involved in vesicle transport. In here, we performed an orthologue search using two different algorithms to identify the components of the secretory pathway in yeast and 14 plant genomes by using the ‘core-set’ of 240 factors as bait. We identified 4021 orthologues and (co-)orthologues in the discussed plant species accounting for components of COP-II, COP-I, Clathrin Coated Vesicles, Retromers and ESCRTs, Rab GTPases, Tethering factors and SNAREs. In plants, we observed a significantly higher number of (co-)orthologues than yeast, while only 8 tethering factors from yeast seem to be absent in the analyzed plant genomes. To link the identified (co-)orthologues to vesicle transport, the domain architecture of the proteins from yeast, genetic model plant A. thaliana and agriculturally relevant crop Solanum lycopersicum has been inspected. For the orthologous groups containing (co-)orthologues from yeast, A. thaliana and S. lycopersicum, we observed the same domain architecture for 79% (416/527) of the (co-)orthologues, which documents a very high conservation of this process. Further, publically available tissue-specific expression profiles for a subset of (co-)orthologues found in A. thaliana and S. lycopersicum suggest that some (co-)orthologues are involved in tissue-specific functions. Inspection of localization of the (co-)orthologues based on available proteome data or localization predictions lead to the assignment of plastid- as well as mitochondrial localized (co-)orthologues of vesicle transport factors and the relevance of this is discussed.","container-title":"PLoS ONE","DOI":"10.1371/journal.pone.0097745","ISSN":"1932-6203","issue":"5","journalAbbreviation":"PLoS One","note":"number: 5\nPMID: 24844592\nPMCID: PMC4028247","page":"e97745","source":"PubMed Central","title":"The Complexity of Vesicle Transport Factors in Plants Examined by Orthology Search","volume":"9","author":[{"family":"Paul","given":"Puneet"},{"family":"Simm","given":"Stefan"},{"family":"Mirus","given":"Oliver"},{"family":"Scharf","given":"Klaus-Dieter"},{"family":"Fragkostefanakis","given":"Sotirios"},{"family":"Schleiff","given":"Enrico"}],"issued":{"date-parts":[["2014",5,20]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21</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bHLH63</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LOC108824102</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c.487A&gt;T|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p.Lys163*</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Epigenetic regulation of flowering: activation of FT expression, flowering in response to blue light. Suppression of the innate immune response.</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{"citationID":"HcIxeCVt","properties":{"formattedCitation":"[132]","plainCitation":"[132]","noteIndex":0},"citationItems":[{"id":1876,"uris":["http://zotero.org/users/9833672/items/T563QUS7"],"itemData":{"id":1876,"type":"article-journal","abstract":"A robust auxin network controls reprogramming toward embryogenesis in suspensor cells via a basic Helix-Loop-Helix transcriptional module, a process involving large transcriptomic changes before anatomical changes., Land plants reproduce sexually by developing an embryo from a fertilized egg cell. However, embryos can also be formed from other cell types in many plant species. Thus, a key question is how embryo identity in plants is controlled, and how this process is modified during nonzygotic embryogenesis. The Arabidopsis (Arabidopsis thaliana) zygote divides to produce an embryonic lineage and an extra-embryonic suspensor. Yet, normally quiescent suspensor cells can develop a second embryo when the initial embryo is damaged, or when response to the signaling molecule auxin is locally blocked. Here we used auxin-dependent suspensor embryogenesis as a model to determine transcriptome changes during embryonic reprogramming. We found that reprogramming is complex and accompanied by large transcriptomic changes before anatomical changes. This analysis revealed a strong enrichment for genes encoding components of auxin homeostasis and response among misregulated genes. Strikingly, deregulation among multiple auxin-related gene families converged upon the re-establishment of cellular auxin levels or response. This finding points to a remarkable degree of feedback regulation to create resilience in the auxin response during embryo development. Starting from the transcriptome of auxin-deregulated embryos, we identified an auxin-dependent basic Helix Loop Helix transcription factor network that mediates the activity of this hormone in suppressing embryo development from the suspensor.","container-title":"The Plant Cell","DOI":"10.1105/tpc.18.00518","ISSN":"1040-4651","issue":"1","journalAbbreviation":"Plant Cell","note":"number: 1\nPMID: 30573473\nPMCID: PMC6391696","page":"52-67","source":"PubMed Central","title":"A Robust Auxin Response Network Controls Embryo and Suspensor Development through a Basic Helix Loop Helix Transcriptional Module[OPEN]","volume":"31","author":[{"family":"Radoeva","given":"Tatyana"},{"family":"Lokerse","given":"Annemarie S."},{"family":"Llavata-Peris","given":"Cristina I."},{"family":"Wendrich","given":"Jos R."},{"family":"Xiang","given":"Daoquan"},{"family":"Liao","given":"Che-Yang"},{"family":"Vlaar","given":"Lieke"},{"family":"Boekschoten","given":"Mark"},{"family":"Hooiveld","given":"Guido"},{"family":"Datla","given":"Raju"},{"family":"Weijers","given":"Dolf"}],"issued":{"date-parts":[["2019",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22</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AGL80</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LOC108815229</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c.432A&gt;G|</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p.Ter144Trp*</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Endosperm cell proliferation.</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{"citationID":"q7yfUnGE","properties":{"formattedCitation":"[133]","plainCitation":"[133]","noteIndex":0},"citationItems":[{"id":1875,"uris":["http://zotero.org/users/9833672/items/PS9FDIAH"],"itemData":{"id":1875,"type":"article-journal","abstract":"Genomic imprinting is an epigenetic phenomenon leading to parent-of-origin specific differential expression of maternally and paternally inherited alleles. In plants, genomic imprinting has mainly been observed in the endosperm, an ephemeral triploid tissue derived after fertilization of the diploid central cell with a haploid sperm cell. In an effort to identify novel imprinted genes in Arabidopsis thaliana, we generated deep sequencing RNA profiles of F1 hybrid seeds derived after reciprocal crosses of Arabidopsis Col-0 and Bur-0 accessions. Using polymorphic sites to quantify allele-specific expression levels, we could identify more than 60 genes with potential parent-of-origin specific expression. By analyzing the distribution of DNA methylation and epigenetic marks established by Polycomb group (PcG) proteins using publicly available datasets, we suggest that for maternally expressed genes (MEGs) repression of the paternally inherited alleles largely depends on DNA methylation or PcG-mediated repression, whereas repression of the maternal alleles of paternally expressed genes (PEGs) predominantly depends on PcG proteins. While maternal alleles of MEGs are also targeted by PcG proteins, such targeting does not cause complete repression. Candidate MEGs and PEGs are enriched for cis-proximal transposons, suggesting that transposons might be a driving force for the evolution of imprinted genes in Arabidopsis. In addition, we find that MEGs and PEGs are significantly faster evolving when compared to other genes in the genome. In contrast to the predominant location of mammalian imprinted genes in clusters, cluster formation was only detected for few MEGs and PEGs, suggesting that clustering is not a major requirement for imprinted gene regulation in Arabidopsis., Genomic imprinting poses a violation to the Mendelian rules of inheritance, which state functional equality of maternally and paternally inherited alleles. Imprinted genes are expressed dependent on their parent-of-origin, implicating an epigenetic asymmetry of maternal and paternal alleles. Genomic imprinting occurs in mammals and flowering plants. In both groups of organisms, nourishing of the progeny depends on ephemeral tissues, the placenta and the endosperm, respectively. In plants, genomic imprinting predominantly occurs in the endosperm, which is derived after fertilization of the diploid central cell with a haploid sperm cell. In this study we identify more than 60 potentially imprinted genes and show tha</w:instrText>
            </w:r>
            <w:r w:rsidRPr="00754B51">
              <w:rPr>
                <w:rFonts w:ascii="Palatino Linotype" w:eastAsia="Palatino Linotype" w:hAnsi="Palatino Linotype" w:cs="Palatino Linotype"/>
                <w:sz w:val="16"/>
                <w:szCs w:val="16"/>
                <w:lang w:val="en-US" w:eastAsia="ru-RU"/>
              </w:rPr>
              <w:instrText xml:space="preserve">t there are different epigenetic mechanisms causing maternal and paternal-specific gene expression. We show that maternally expressed genes are regulated by DNA methylation or Polycomb group (PcG)-mediated repression, while paternally expressed genes are predominantly regulated by PcG proteins. From an evolutionary perspective, we also show that imprinted genes are associated with transposons and are more rapidly evolving than other genes in the genome. Many MEGs and PEGs encode for transcriptional regulators, implicating important functional roles of imprinted genes for endosperm and seed development.","container-title":"PLoS Genetics","DOI":"10.1371/journal.pgen.1002126","ISSN":"1553-7390","issue":"6","journalAbbreviation":"PLoS Genet","note":"number: 6\nPMID: 21698132\nPMCID: PMC3116908","page":"e1002126","source":"PubMed Central","title":"High-Resolution Analysis of Parent-of-Origin Allelic Expression in the Arabidopsis Endosperm","volume":"7","author":[{"family":"Wolff","given":"Philip"},{"family":"Weinhofer","given":"Isabelle"},{"family":"Seguin","given":"Jonathan"},{"family":"Roszak","given":"Pawel"},{"family":"Beisel","given":"Christian"},{"family":"Donoghue","given":"Mark T. A."},{"family":"Spillane","given":"Charles"},{"family":"Nordborg","given":"Magnus"},{"family":"Rehmsmeier","given":"Marc"},{"family":"Köhler","given":"Claudia"}],"issued":{"date-parts":[["2011",6,16]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[133]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23</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SHOC1</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LOC130500734</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c.20T&gt;A|p.Leu7*</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Biosynthesis of gibberellins; seed germination; differentiation of xylem elements, lignification of secondary cell wall.</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val="en-US" w:eastAsia="ru-RU"/>
              </w:rPr>
              <w:instrText xml:space="preserve"> ADDIN ZOTERO_ITEM CSL_CITATION {"citationID":"iyJ8MRkU","properties":{"formattedCitation":"[134]","plainCitation":"[134]","noteIndex":0},"citationItems":[{"id":1874,"uris":["http://zotero.org/users/9833672/items/BBM3XG8K"],"itemData":{"id":1874,"type":"article-journal","abstract":"Tudor staphylococcal nuclease (TSN; also known as Tudor-SN, p100, or SND1) is a multifunctional, evolutionarily conserved regulator of gene expression, exhibiting cytoprotective activity in animals and plants and oncogenic activity in mammals. During stress, TSN stably associates with stress granules (SGs), in a poorly understood process. Here, we show that in the model plant Arabidopsis thaliana, TSN is an intrinsically disordered protein (IDP) acting as a scaffold for a large pool of other IDPs, enriched for conserved stress granule components as well as novel or plant-specific SG-localized proteins. While approximately 30% of TSN interactors are recruited to stress granules de novo upon stress perception, 70% form a protein-protein interaction network present before the onset of stress. Finally, we demonstrate that TSN and stress granule formation promote heat-induced activation of the evolutionarily conserved energy-sensing SNF1-related protein kinase 1 (SnRK1), the plant orthologue of mammalian AMP-activated protein kinase (AMPK). Our results establish TSN as a docking platform for stress granule proteins, with an important role in stress signalling.","container-title":"The EMBO journal","DOI":"10.15252/embj.2020105043","ISSN":"1460-2075","issue":"17","journalAbbreviation":"EMBO J","language":"eng","note":"number: 17\nPMID: 34287990\nPMCID: PMC8447601","page":"e105043","source":"PubMed","title":"Tudor staphylococcal nuclease is a docking platform for stress granule components and is essential for SnRK1 activation in Arabidopsis","volume":"40","author":[{"family":"Gutierrez-Beltran","given":"Emilio"},{"family":"Elander","given":"Pernilla H."},{"family":"Dalman","given":"Kerstin"},{"family":"Dayhoff","given":"Guy W."},{"family":"Moschou","given":"Panagiotis N."},{"family":"Uversky","given":"Vladimir N."},{"family":"Crespo","given":"Jose L."},{"family":"Bozhkov","given":"Peter V."}],"issued":{"date-parts":[["2021",9,1]]}}}],"schema":"https://github.com/citation-style-language/schema/raw/master/csl-citation.json"}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24</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CDF3</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6</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LOC108813543</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c.984G&gt;A|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p.Trp328*</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Photoperiodic control of flowering through suppression of CONSTANS; enhances nitrogen use efficiency; increases biomass production and yield under salinity stress.</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{"citationID":"SiMFZZIf","properties":{"formattedCitation":"[135]","plainCitation":"[135]","noteIndex":0},"citationItems":[{"id":1873,"uris":["http://zotero.org/users/9833672/items/WMD2ZN7F"],"itemData":{"id":1873,"type":"article-journal","abstract":"Nitrate is an essential macronutrient and a signal molecule that regulates the expression of multiple genes involved in plant growth and development. Here, we describe the participation of Arabidopsis DNA binding with one finger (DOF) transcription factor CDF3 in nitrate responses and shows that CDF3 gene is induced under nitrate starvation. Moreover, knockout cdf3 mutant plants exhibit nitrate-dependent lateral and primary root modifications, whereas CDF3 overexpression plants show increased biomass and enhanced root development under both nitrogen poor and rich conditions. Expression analyses of 35S::CDF3 lines reveled that CDF3 regulates the expression of an important set of nitrate responsive genes including, glutamine synthetase-1, glutamate synthase-2, nitrate reductase-1, and nitrate transporters NRT2.1, NRT2.4, and NRT2.5 as well as carbon assimilation genes like PK1 and PEPC1 in response to N availability. Consistently, metabolite profiling disclosed that the total amount of key N metabolites like glutamate, glutamine, and asparagine were higher in CDF3-overexpressing plants, but lower in cdf3-1 in N limiting conditions. Moreover, overexpression of CDF3 in tomato increased N accumulation and yield efficiency under both optimum and limiting N supply. These results highlight CDF3 as an important regulatory factor for the nitrate response, and its potential for improving N use efficiency in crops.","container-title":"Frontiers in Plant Science","DOI":"10.3389/fpls.2020.601558","ISSN":"1664-462X","journalAbbreviation":"Front Plant Sci","note":"PMID: 33329669\nPMCID: PMC7732579","page":"601558","source":"PubMed Central","title":"The Arabidopsis Transcription Factor CDF3 Is Involved in Nitrogen Responses and Improves Nitrogen Use Efficiency in Tomato","volume":"11","author":[{"family":"Domínguez-Figueroa","given":"José"},{"family":"Carrillo","given":"Laura"},{"family":"Renau-Morata","given":"Begoña"},{"family":"Yang","given":"Lu"},{"family":"Molina","given":"Rosa-V"},{"family":"Marino","given":"Daniel"},{"family":"Canales","given":"Javier"},{"family":"Weih","given":"Martin"},{"family":"Vicente-Carbajosa","given":"Jesús"},{"family":"Nebauer","given":"Sergio G."},{"family":"Medina","given":"Joaquín"}],"issued":{"date-parts":[["2020",11,24]]}}}],"schema":"https://github.com/citation-style-language/schema/raw/master/csl-citation.json"}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25</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dZIP30</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4</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LOC108848413</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c.240T&gt;A|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p.Cys80*</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TF, a repressor of reproductive development, meristem size and plant growth. Interacts with regulators of meristem and gynoecium development.</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{"citationID":"wDZSQHNN","properties":{"formattedCitation":"[136]","plainCitation":"[136]","noteIndex":0},"citationItems":[{"id":1872,"uris":["http://zotero.org/users/9833672/items/FVLB9GRW"],"itemData":{"id":1872,"type":"article-journal","abstract":"Here we describe an uncharacterized gene that negatively influences Arabidopsis growth and reproductive development. DRINK ME (DKM; bZIP30) is a member of the bZIP transcription factor family, and is expressed in meristematic tissues such as the inflorescence meristem (IM), floral meristem (FM), and carpel margin meristem (CMM). Altered DKM expression affects meristematic tissues and reproductive organ development, including the gynoecium, which is the female reproductive structure and is determinant for fertility and sexual reproduction. A microarray analysis indicates that DKM overexpression affects the expression of cell cycle, cell wall, organ initiation, cell elongation, hormone homeostasis, and meristem activity genes. Furthermore, DKM can interact in yeast and in planta with proteins involved in shoot apical meristem maintenance such as WUSCHEL, KNAT1/BP, KNAT2 and JAIBA, and with proteins involved in medial tissue development in the gynoecium such as HECATE, BELL1 and NGATHA1. Taken together, our results highlight the relevance of DKM as a negative modulator of Arabidopsis growth and reproductive development.","container-title":"The Plant Journal: For Cell and Molecular Biology","DOI":"10.1111/tpj.13264","ISSN":"1365-313X","issue":"3","journalAbbreviation":"Plant J","language":"eng","note":"number: 3\nPMID: 27402171","page":"437-451","source":"PubMed","title":"Altered expression of the bZIP transcription factor DRINK ME affects growth and reproductive development in Arabidopsis thaliana","volume":"88","author":[{"family":"Lozano-Sotomayor","given":"Paulina"},{"family":"Chávez Montes","given":"Ricardo A."},{"family":"Silvestre-Vañó","given":"Marina"},{"family":"Herrera-Ubaldo","given":"Humberto"},{"family":"Greco","given":"Raffaella"},{"family":"Pablo-Villa","given":"Jeanneth"},{"family":"Galliani","given":"Bianca M."},{"family":"Diaz-Ramirez","given":"David"},{"family":"Weemen","given":"Mieke"},{"family":"Boutilier","given":"Kim"},{"family":"Pereira","given":"Andy"},{"family":"Colombo","given":"Lucia"},{"family":"Madueño","given":"Francisco"},{"family":"Marsch-Martínez","given":"Nayelli"},{"family":"Folter","given":"Stefan","non-dropping-particle":"de"}],"issued":{"date-parts":[["2016",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[136]</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5396" w:type="dxa"/>
            <w:gridSpan w:val="8"/>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Control of meristem activity</w:t>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26</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REM10L</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LOC108857973</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c.604A&gt;T|</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p.Lys202*</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Flower development.</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{"citationID":"uCwbIjhm","properties":{"formattedCitation":"[70]","plainCitation":"[70]","noteIndex":0},"citationItems":[{"id":1939,"uris":["http://zotero.org/users/9833672/items/8ZLCB8XF"],"itemData":{"id":1939,"type":"article-journal","abstract":"BACKGROUND AND AIMS: The REM (Reproductive Meristem) gene family of Arabidopsis thaliana is part of the B3 DNA-binding domain superfamily. Despite the fact that several groups have worked on the REM genes for many years, little is known about the function of this transcription factor family. This study aims to identify a set of REM genes involved in flower development and to characterize their function.\nMETHODS: In order to provide an overview of the REM gene family, a detailed expression analysis for all REM genes of A. thaliana was performed and combined with a meta-analysis of ChIP-sequencing and microarray experiments.\nKEY RESULTS: Two sets of phylogenetically closely related REM genes, namely REM23, REM24 and REM25, and REM34, REM35 and REM36, were identified as possibly being involved in the early stages of flower development. Single- and double-mutant combinations were analysed for these genes, and no phenotypic effects were detected during flower development.\nCONCLUSIONS: The data suggest that the REM34, REM35 and REM36 group is the most interesting one, as REM34 is co-expressed with the floral meristem identity (FMI) genes, they are bound by AP1, SVP, AP3 and PI, and they are expressed in the floral meristem and during the earliest stages of flower development. However, it appears that high levels of functional redundancy may conceal the exact function of these transcription factor genes.","container-title":"Annals of Botany","DOI":"10.1093/aob/mcu124","ISSN":"1095-8290","issue":"7","journalAbbreviation":"Ann Bot","language":"eng","note":"number: 7\nPMID: 25002525\nPMCID: PMC4204784","page":"1507-1515","source":"PubMed","title":"Analysis of the arabidopsis REM gene family predicts functions during flower development","volume":"114","author":[{"family":"Mantegazza","given":"Otho"},{"family":"Gregis","given":"Veronica"},{"family":"Mendes","given":"Marta Adelina"},{"family":"Morandini","given":"Piero"},{"family":"Alves-Ferreira","given":"Márcio"},{"family":"Patreze","given":"Camila M."},{"family":"Nardeli","given":"Sarah M."},{"family":"Kater","given":"Martin M."},{"family":"Colombo","given":"Lucia"}],"issued":{"date-parts":[["2014",11]]}}}],"schema":"https://github.com/citation-style-language/schema/raw/master/csl-citation.json"}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[70]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27</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BRX</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LOC108850063</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c.946T&gt;A|</w:t>
            </w:r>
          </w:p>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p.Ter316Arg*</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Proliferation and elongation of root and shoot cells; control of the </w:t>
            </w:r>
            <w:proofErr w:type="spellStart"/>
            <w:r w:rsidRPr="00754B51">
              <w:rPr>
                <w:rFonts w:ascii="Palatino Linotype" w:eastAsia="Palatino Linotype" w:hAnsi="Palatino Linotype" w:cs="Palatino Linotype"/>
                <w:sz w:val="16"/>
                <w:szCs w:val="16"/>
                <w:lang w:val="en-US" w:eastAsia="ru-RU"/>
              </w:rPr>
              <w:t>protofloem</w:t>
            </w:r>
            <w:proofErr w:type="spellEnd"/>
            <w:r w:rsidRPr="00754B51">
              <w:rPr>
                <w:rFonts w:ascii="Palatino Linotype" w:eastAsia="Palatino Linotype" w:hAnsi="Palatino Linotype" w:cs="Palatino Linotype"/>
                <w:sz w:val="16"/>
                <w:szCs w:val="16"/>
                <w:lang w:val="en-US" w:eastAsia="ru-RU"/>
              </w:rPr>
              <w:t xml:space="preserve">; interactions between ISC and </w:t>
            </w:r>
            <w:proofErr w:type="spellStart"/>
            <w:r w:rsidRPr="00754B51">
              <w:rPr>
                <w:rFonts w:ascii="Palatino Linotype" w:eastAsia="Palatino Linotype" w:hAnsi="Palatino Linotype" w:cs="Palatino Linotype"/>
                <w:sz w:val="16"/>
                <w:szCs w:val="16"/>
                <w:lang w:val="en-US" w:eastAsia="ru-RU"/>
              </w:rPr>
              <w:t>brassinosteroid</w:t>
            </w:r>
            <w:proofErr w:type="spellEnd"/>
            <w:r w:rsidRPr="00754B51">
              <w:rPr>
                <w:rFonts w:ascii="Palatino Linotype" w:eastAsia="Palatino Linotype" w:hAnsi="Palatino Linotype" w:cs="Palatino Linotype"/>
                <w:sz w:val="16"/>
                <w:szCs w:val="16"/>
                <w:lang w:val="en-US" w:eastAsia="ru-RU"/>
              </w:rPr>
              <w:t xml:space="preserve"> signalling; CK-mediated inhibition of lateral root initiation.</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{"citationID":"PPYU5hJa","properties":{"formattedCitation":"[137]","plainCitation":"[137]","noteIndex":0},"citationItems":[{"id":1870,"uris":["http://zotero.org/users/9833672/items/A3YE8NDD"],"itemData":{"id":1870,"type":"article-journal","abstract":"Mutant analysis has been tremendously successful in deciphering the genetics of plant development. However, less is known about the molecular basis of morphological variation within species, which is caused by naturally occurring alleles. In this study, we succeeded in isolating a novel regulator of root growth by exploiting natural genetic variation in the model plant Arabidopsis. Quantitative trait locus analysis of a cross between isogenized accessions revealed that a single locus is responsible for approximately 80% of the variance of the observed difference in root length. This gene, named BREVIS RADIX (BRX), controls the extent of cell proliferation and elongation in the growth zone of the root tip. We isolated BRX by positional cloning. BRX is a member of a small group of highly conserved genes, the BRX gene family, which is only found in multicellular plants. Analyses of Arabidopsis single and double mutants suggest that BRX is the only gene of this family with a role in root development. The BRX protein is nuclear localized and activates transcription in a heterologous yeast system, indicating that BRX family proteins represent a novel class of transcription factors. Thus, we have identified a novel regulatory factor controlling quantitative aspects of root growth.","container-title":"Genes &amp; Development","DOI":"10.1101/gad.1187704","ISSN":"0890-9369","issue":"6","journalAbbreviation":"Genes Dev","language":"eng","note":"number: 6\nPMID: 15031265\nPMCID: PMC387244","page":"700-714","source":"PubMed","title":"Natural genetic variation in Arabidopsis identifies BREVIS RADIX, a novel regulator of cell proliferation and elongation in the root","volume":"18","author":[{"family":"Mouchel","given":"Céline F."},{"family":"Briggs","given":"Georgette C."},{"family":"Hardtke","given":"Christian S."}],"issued":{"date-parts":[["2004",3,15]]}}}],"schema":"https://github.com/citation-style-language/schema/raw/master/csl-citation.json"}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[137]</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15396" w:type="dxa"/>
            <w:gridSpan w:val="8"/>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sz w:val="16"/>
                <w:szCs w:val="16"/>
                <w:lang w:val="en-US" w:eastAsia="ru-RU"/>
              </w:rPr>
            </w:pPr>
            <w:r w:rsidRPr="00754B51">
              <w:rPr>
                <w:rFonts w:ascii="Palatino Linotype" w:eastAsia="Palatino Linotype" w:hAnsi="Palatino Linotype" w:cs="Palatino Linotype"/>
                <w:b/>
                <w:sz w:val="16"/>
                <w:szCs w:val="16"/>
                <w:lang w:val="en-US" w:eastAsia="ru-RU"/>
              </w:rPr>
              <w:t>Other functions</w:t>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28</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PER30</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5</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LOC108862038</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c.2T&gt;C|p.Met1</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 xml:space="preserve">Oxidation of toxic reducing agents; lignin biosynthesis and degradation, </w:t>
            </w:r>
            <w:proofErr w:type="spellStart"/>
            <w:r w:rsidRPr="00754B51">
              <w:rPr>
                <w:rFonts w:ascii="Palatino Linotype" w:eastAsia="Palatino Linotype" w:hAnsi="Palatino Linotype" w:cs="Palatino Linotype"/>
                <w:sz w:val="16"/>
                <w:szCs w:val="16"/>
                <w:lang w:val="en-US" w:eastAsia="ru-RU"/>
              </w:rPr>
              <w:t>suberisation</w:t>
            </w:r>
            <w:proofErr w:type="spellEnd"/>
            <w:r w:rsidRPr="00754B51">
              <w:rPr>
                <w:rFonts w:ascii="Palatino Linotype" w:eastAsia="Palatino Linotype" w:hAnsi="Palatino Linotype" w:cs="Palatino Linotype"/>
                <w:sz w:val="16"/>
                <w:szCs w:val="16"/>
                <w:lang w:val="en-US" w:eastAsia="ru-RU"/>
              </w:rPr>
              <w:t>, auxin catabolism, response to exogenous stresses.</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{"citationID":"12eSarsg","properties":{"formattedCitation":"[138]","plainCitation":"[138]","noteIndex":0},"citationItems":[{"id":1869,"uris":["http://zotero.org/users/9833672/items/3NU5TUMZ"],"itemData":{"id":1869,"type":"article-journal","abstract":"Hydroxyproline-rich glycoproteins (HRGPs) are a superfamily of plant cell wall proteins that function in diverse aspects of plant growth and development. This superfamily consists of three members: hyperglycosylated arabinogalactan proteins (AGPs), moderately glycosylated extensins (EXTs), and lightly glycosylated proline-rich proteins (PRPs). Hybrid and chimeric versions of HRGP molecules also exist. In order to \"mine\" genomic databases for HRGPs and to facilitate and guide research in the field, the BIO OHIO software program was developed that identifies and classifies AGPs, EXTs, PRPs, hybrid HRGPs, and chimeric HRGPs from proteins predicted from DNA sequence data. This bioinformatics program is based on searching for biased amino acid compositions and for particular protein motifs associated with known HRGPs. HRGPs identified by the program are subsequently analyzed to elucidate the following: (1) repeating amino acid sequences, (2) signal peptide and glycosylphosphatidylinositol lipid anchor addition sequences, (3) similar HRGPs via Basic Local Alignment Search Tool, (4) expression patterns of their genes, (5) other HRGPs, glycosyl transferase, prolyl 4-hydroxylase, and peroxidase genes coexpressed with their genes, and (6) gene structure and whether genetic mutants exist in their genes. The program was used to identify and classify 166 HRGPs from Arabidopsis (Arabidopsis thaliana) as follows: 85 AGPs (including classical AGPs, lysine-rich AGPs, arabinogalactan peptides, fasciclin-like AGPs, plastocyanin AGPs, and other chimeric AGPs), 59 EXTs (including SP(5) EXTs, SP(5)/SP(4) EXTs, SP(4) EXTs, SP(4)/SP(3) EXTs, a SP(3) EXT, \"short\" EXTs, leucine-rich repeat-EXTs, proline-rich extensin-like receptor kinases, and other chimeric EXTs), 18 PRPs (including PRPs and chimeric PRPs), and AGP/EXT hybrid HRGPs.","container-title":"Plant Physiology","DOI":"10.1104/pp.110.156554","ISSN":"1532-2548","issue":"2","journalAbbreviation":"Plant Physiol","language":"eng","note":"number: 2\nPMID: 20395450\nPMCID: PMC2879790","page":"485-513","source":"PubMed","title":"A bioinformatics approach to the identification, classification, and analysis of hydroxyproline-rich glycoproteins","volume":"153","author":[{"family":"Showalter","given":"Allan M."},{"family":"Keppler","given":"Brian"},{"family":"Lichtenberg","given":"Jens"},{"family":"Gu","given":"Dazhang"},{"family":"Welch","given":"Lonnie R."}],"issued":{"date-parts":[["2010",6]]}}}],"schema":"https://github.com/citation-style-language/schema/raw/master/csl-citation.json"}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[138]</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29</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CRWN</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LOC108806851</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c.8G&gt;A|p.Trp3*</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Organisation of core structure.</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{"citationID":"dgwBIWER","properties":{"formattedCitation":"[139]","plainCitation":"[139]","noteIndex":0},"citationItems":[{"id":1868,"uris":["http://zotero.org/users/9833672/items/5TC8AA4W"],"itemData":{"id":1868,"type":"article-journal","abstract":"Defects in the nuclear lamina of animal cell nuclei have dramatic effects on nuclear structure and gene expression as well as diverse physiological manifestations. We report that deficiencies in CROWDED NUCLEI (CRWN), which are candidate nuclear lamina proteins in Arabidopsis (Arabidopsis thaliana), trigger widespread changes in transcript levels and whole-plant phenotypes, including dwarfing and spontaneous cell death lesions. These phenotypes are caused in part by ectopic induction of plant defense responses via the salicylic acid pathway. Loss of CRWN proteins induces the expression of the salicylic acid biosynthetic gene ISOCHORISMATE SYNTHASE1, which leads to spontaneous defense responses in crwn1 crwn2 and crwn1 crwn4 mutants, which are deficient in two of the four CRWN paralogs. The symptoms of ectopic defense response, including pathogenesis marker gene expression and cell death, increase in older crwn double mutants. These age-dependent effects are postulated to reflect an increase in nuclear dysfunction or damage over time, a phenomenon reminiscent of aging effects seen in animal nuclei and in some human laminopathy patients.","container-title":"Plant Physiology","DOI":"10.1104/pp.18.01020","ISSN":"1532-2548","issue":"4","journalAbbreviation":"Plant Physiol","language":"eng","note":"number: 4\nPMID: 30696746\nPMCID: PMC6446779","page":"1315-1329","source":"PubMed","title":"Loss of CRWN Nuclear Proteins Induces Cell Death and Salicylic Acid Defense Signaling","volume":"179","author":[{"family":"Choi","given":"Junsik"},{"family":"Strickler","given":"Susan R."},{"family":"Richards","given":"Eric J."}],"issued":{"date-parts":[["2019",4]]}}}],"schema":"https://github.com/citation-style-language/schema/raw/master/csl-citation.json"}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[139]</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30</w:t>
            </w:r>
          </w:p>
        </w:tc>
        <w:tc>
          <w:tcPr>
            <w:tcW w:w="1062"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LRR-RK</w:t>
            </w:r>
          </w:p>
        </w:tc>
        <w:tc>
          <w:tcPr>
            <w:tcW w:w="701"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2</w:t>
            </w:r>
          </w:p>
        </w:tc>
        <w:tc>
          <w:tcPr>
            <w:tcW w:w="1635"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LOC108842145</w:t>
            </w:r>
          </w:p>
        </w:tc>
        <w:tc>
          <w:tcPr>
            <w:tcW w:w="2103" w:type="dxa"/>
            <w:tcBorders>
              <w:top w:val="single" w:sz="4" w:space="0" w:color="000000"/>
              <w:bottom w:val="single" w:sz="4" w:space="0" w:color="000000"/>
            </w:tcBorders>
            <w:shd w:val="clear" w:color="auto" w:fill="FFFFFF"/>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c.1526T&gt;A|p.Leu509*</w:t>
            </w:r>
          </w:p>
        </w:tc>
        <w:tc>
          <w:tcPr>
            <w:tcW w:w="7373"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Encodes protein with serine/threonine/tyrosine kinase activity.</w:t>
            </w:r>
          </w:p>
        </w:tc>
        <w:tc>
          <w:tcPr>
            <w:tcW w:w="958"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4" w:space="0" w:color="000000"/>
            </w:tcBorders>
            <w:shd w:val="clear" w:color="auto" w:fill="FFFFFF"/>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{"citationID":"LEHNmEfn","properties":{"formattedCitation":"[140]","plainCitation":"[140]","noteIndex":0},"citationItems":[{"id":1867,"uris":["http://zotero.org/users/9833672/items/PYIBFNEL"],"itemData":{"id":1867,"type":"article-journal","abstract":"Receptor-like protein kinases (RLKs) play key roles in regulating plant growth, development and stress adaptations. There are at least 610 RLKs (including receptor-like cytoplasmic kinases) in Arabidopsis. The functions of the majority of RLKs have not yet been determined. We previously generated promoter::GUS transgenic plants for all leucine-rich repeat (LRR)-RLKs in Arabidopsis and analyzed their expression patterns during various developmental stages. We found the expression of two LRR-RLKs, MUSTACHES (MUS) and MUSTACHES-LIKE (MUL), are overlapped in lateral root primordia. Independent mutants, mus-3 mul-1 and mus-4 mul-2, show a significantly decreased emerged lateral root phenotype. Our analyses indicate that the defects of the double mutant occur mainly at stage I of lateral root development. Exogenous application of auxin can dramatically enhance the transcription of MUS, which is largely dependent on AUXIN RESPONSE FACTOR 7 (ARF7) and ARF19. MUS and MUL are inactive kinases in vitro but are phosphorylated in planta, possibly by an unknown kinase. The kinase activity of MUS is dispensable for its function in lateral root development. Many cell wall related genes are down regulated in mus-3 mul-1. In conclusion, we identified MUS and MUL, two kinase-inactive RLKs, in controlling the early development of lateral root primordia likely via regulating cell wall synthesis and remodeling.","container-title":"The New Phytologist","DOI":"10.1111/nph.16599","ISSN":"1469-8137","issue":"4","journalAbbreviation":"New Phytol","language":"eng","note":"number: 4\nPMID: 32278327\nPMCID: PMC7383864","page":"1157-1173","source":"PubMed","title":"Two receptor-like protein kinases, MUSTACHES and MUSTACHES-LIKE, regulate lateral root development in Arabidopsis thaliana","volume":"227","author":[{"family":"Xun","given":"Qingqing"},{"family":"Wu","given":"Yunzhe"},{"family":"Li","given":"Hui"},{"family":"Chang","given":"Jinke"},{"family":"Ou","given":"Yang"},{"family":"He","given":"Kai"},{"family":"Gou","given":"Xiaoping"},{"family":"Tax","given":"Frans E."},{"family":"Li","given":"Jia"}],"issued":{"date-parts":[["2020",8]]}}}],"schema":"https://github.com/citation-style-language/schema/raw/master/csl-citation.json"}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[140]</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31</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proofErr w:type="spellStart"/>
            <w:r w:rsidRPr="00754B51">
              <w:rPr>
                <w:rFonts w:ascii="Palatino Linotype" w:eastAsia="Palatino Linotype" w:hAnsi="Palatino Linotype" w:cs="Palatino Linotype"/>
                <w:b/>
                <w:i/>
                <w:color w:val="0A0A0A"/>
                <w:sz w:val="16"/>
                <w:szCs w:val="16"/>
                <w:lang w:eastAsia="ru-RU"/>
              </w:rPr>
              <w:t>LecRLK</w:t>
            </w:r>
            <w:proofErr w:type="spellEnd"/>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9</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LOC108824077</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c.107G&gt;Tp.Ter36Leuext</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Plant development; response to stress.</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{"citationID":"1gQjpsyN","properties":{"formattedCitation":"[141]","plainCitation":"[141]","noteIndex":0},"citationItems":[{"id":1866,"uris":["http://zotero.org/users/9833672/items/YFLUERRG"],"itemData":{"id":1866,"type":"article-journal","abstract":"Lectin receptor-like kinases (LecRLKs), a plant-specific receptor-like kinase (RLK) sub-family, have been recently found to play crucial roles in plant development and responses to abiotic and biotic stresses. In this review, we first describe the classification and structures of Lectin RLKs. Then we focus on the analysis of functions of LecRLKs in various biological processes and discuss the status of LecRLKs from the ligands they recognize, substrate they target, signaling pathways they are involved in, to the overall regulation of growth-defense tradeoffs. LecRLKs and the signaling components they interact with constitute recognition and protection systems at the plant cell surface contributing to the detection of environmental changes monitoring plant fitness.","container-title":"Frontiers in Plant Science","DOI":"10.3389/fpls.2020.596301","ISSN":"1664-462X","journalAbbreviation":"Front Plant Sci","language":"eng","note":"PMID: 33362827\nPMCID: PMC7758398","page":"596301","source":"PubMed","title":"Lectin Receptor-Like Kinases: The Sensor and Mediator at the Plant Cell Surface","title-short":"Lectin Receptor-Like Kinases","volume":"11","author":[{"family":"Sun","given":"Yali"},{"family":"Qiao","given":"Zhenzhen"},{"family":"Muchero","given":"Wellington"},{"family":"Chen","given":"Jin-Gui"}],"issued":{"date-parts":[["2020"]]}}}],"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[141]</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32</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color w:val="0A0A0A"/>
                <w:sz w:val="16"/>
                <w:szCs w:val="16"/>
                <w:lang w:eastAsia="ru-RU"/>
              </w:rPr>
            </w:pPr>
            <w:r w:rsidRPr="00754B51">
              <w:rPr>
                <w:rFonts w:ascii="Palatino Linotype" w:eastAsia="Palatino Linotype" w:hAnsi="Palatino Linotype" w:cs="Palatino Linotype"/>
                <w:b/>
                <w:i/>
                <w:sz w:val="16"/>
                <w:szCs w:val="16"/>
                <w:lang w:eastAsia="ru-RU"/>
              </w:rPr>
              <w:t>SBT2.6</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LOC108849971</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c.2442C&gt;G|p.Tyr814*</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Proteolysis; activated in response to eoCLE40.</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{"citationID":"VOJxV9q8","properties":{"formattedCitation":"[142]","plainCitation":"[142]","noteIndex":0},"citationItems":[{"id":1865,"uris":["http://zotero.org/users/9833672/items/N4IRPW2M"],"itemData":{"id":1865,"type":"article-journal","abstract":"Small posttranslationally modified signaling peptides are proteolytically derived from larger precursor proteins and subject to several additional steps of modification, including Pro hydroxylation, Hyp glycosylation, and/or Tyr sulfation. The processing proteases and the relevance of posttranslational modifications for peptide biogenesis and activity are largely unknown. In this study these questions were addressed for the Clavata3/Endosperm Surrounding Region (CLE) peptide CLE40, a peptide regulator of stem cell differentiation in the Arabidopsis (Arabidopsis thaliana) root meristem. We identify three subtilases (SBT1.4, SBT1.7, and SBT4.13) that cleave the CLE40 precursor redundantly at two sites. C-terminal processing releases the mature peptide from its precursor and is thus required for signal biogenesis. SBT-mediated cleavage at a second site within the mature peptide attenuates the signal. The second cleavage is prevented by Pro hydroxylation, resulting in the formation of mature and bioactive CLE40 in planta. Our data reveal a role for posttranslational modification by Pro hydroxylation in the regulation of CLE40 formation and activity.","container-title":"Plant Physiology","DOI":"10.1104/pp.20.00528","ISSN":"1532-2548","issue":"3","journalAbbreviation":"Plant Physiol","language":"eng","note":"number: 3\nPMID: 32907884\nPMCID: PMC7608152","page":"1573-1584","source":"PubMed","title":"Processing and Formation of Bioactive CLE40 Peptide Are Controlled by Posttranslational Proline Hydroxylation","volume":"184","author":[{"family":"Stührwohldt","given":"Nils"},{"family":"Ehinger","given":"Alexandra"},{"family":"Thellmann","given":"Kerstin"},{"family":"Schaller","given":"Andreas"}],"issued":{"date-parts":[["2020",11]]}}}],"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[142]</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33</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color w:val="0A0A0A"/>
                <w:sz w:val="16"/>
                <w:szCs w:val="16"/>
                <w:lang w:eastAsia="ru-RU"/>
              </w:rPr>
            </w:pPr>
            <w:r w:rsidRPr="00754B51">
              <w:rPr>
                <w:rFonts w:ascii="Palatino Linotype" w:eastAsia="Palatino Linotype" w:hAnsi="Palatino Linotype" w:cs="Palatino Linotype"/>
                <w:b/>
                <w:i/>
                <w:sz w:val="16"/>
                <w:szCs w:val="16"/>
                <w:lang w:eastAsia="ru-RU"/>
              </w:rPr>
              <w:t>LOC108853023</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4</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LOC108853023</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c.87T&gt;A|p.Tyr29*</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Participant in ubiquitin-dependent catabolic processes.</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2</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{"citationID":"WL9jfBIB","properties":{"formattedCitation":"[143]","plainCitation":"[143]","noteIndex":0},"citationItems":[{"id":1864,"uris":["http://zotero.org/users/9833672/items/GUAJL3PM"],"itemData":{"id":1864,"type":"article-journal","abstract":"BACKGROUND: In computational analysis, the RING-finger domain is one of the most frequently detected domains in the Arabidopsis proteome. In fact, it is more abundant in Arabidopsis than in other eukaryotic genomes. However, computational analysis might classify ambiguous domains of the closely related PHD and LIM motifs as RING domains by mistake. Thus, we set out to define an ordered set of Arabidopsis RING domains by evaluating predicted domains on the basis of recent structural data.\nRESULTS: Inspection of the proteome with a current InterPro release predicts 446 RING domains. We evaluated each detected domain and as a result eliminated 59 false positives. The remaining 387 domains were grouped by cluster analysis and according to their metal-ligand arrangement. We further defined novel patterns for additional computational analyses of the proteome. They were based on recent structural data that enable discrimination between the related RING, PHD and LIM domains. These patterns allow us to predict with different degrees of certainty whether a particular domain is indeed likely to form a RING finger.\nCONCLUSIONS: In summary, 387 domains have a significant potential to form a RING-type cross-brace structure. Many of these RING domains overlap with predicted PHD domains; however, the RING domain signature mostly prevails. Thus, the abundance of PHD domains in Arabidopsis has been significantly overestimated. Cluster analysis of the RING domains defines groups of proteins, which frequently show significant similarity outside the RING domain. These groups document a common evolutionary origin of their members and potentially represent genes of overlapping functionality.","container-title":"Genome Biology","DOI":"10.1186/gb-2002-3-4-research0016","ISSN":"1474-760X","issue":"4","journalAbbreviation":"Genome Biol","language":"eng","note":"number: 4\nPMID: 11983057\nPMCID: PMC115204","page":"RESEARCH0016","source":"PubMed","title":"Evaluation and classification of RING-finger domains encoded by the Arabidopsis genome","volume":"3","author":[{"family":"Kosarev","given":"Peter"},{"family":"Mayer","given":"Klaus F. X."},{"family":"Hardtke","given":"Christian S."}],"issued":{"date-parts":[["2002"]]}}}],"schema":"https://github.com/citation-style-language/schema/raw/master/csl-citation.json"}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[143]</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34</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VLG</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6</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LOC130496156</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c.309C&gt;G|p.Tyr103*</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Gametogenesis</w:t>
            </w:r>
            <w:proofErr w:type="spellEnd"/>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{"citationID":"1aMgRYXT","properties":{"formattedCitation":"[144]","plainCitation":"[144]","noteIndex":0},"citationItems":[{"id":1863,"uris":["http://zotero.org/users/9833672/items/RM55NJ57"],"itemData":{"id":1863,"type":"article-journal","abstract":"In this work we identified VACUOLELESS GAMETOPHYTES (VLG) as a DC1 domain-containing protein present in the endomembrane system and essential for development of both female and male gametophytes. VLG was originally annotated as a gene coding for a protein of unknown function containing DC1 domains. DC1 domains are cysteine- and histidine-rich zinc finger domains found exclusively in the plant kingdom that have been named on the basis of similarity with the C1 domain present in protein kinase C (PKC). In Arabidopsis, both male and female gametophytes are characterized by the formation of a large vacuole early in development; this is absent in vlg mutant plants. As a consequence, development is arrested in embryo sacs and pollen grains at the first mitotic division. VLG is specifically located in multivesicular bodies or pre-vacuolar compartments, and our results suggest that vesicular fusion is affected in the mutants, disrupting vacuole formation. Supporting this idea, AtPVA12 - a member of the SNARE vesicle-associated protein family and previously related to a sterol-binding protein, was identified as a VLG interactor. A role for VLG is proposed mediating vesicular fusion in plants as part of the sterol trafficking machinery required for vacuole biogenesis in plants.","container-title":"The Plant Journal: For Cell and Molecular Biology","DOI":"10.1111/tpj.13486","ISSN":"1365-313X","issue":"2","journalAbbreviation":"Plant J","language":"eng","note":"number: 2\nPMID: 28107777","page":"261-275","source":"PubMed","title":"The DC1-domain protein VACUOLELESS GAMETOPHYTES is essential for development of female and male gametophytes in Arabidopsis","volume":"90","author":[{"family":"D'Ippólito","given":"Sebastián"},{"family":"Arias","given":"Leonardo Agustín"},{"family":"Casalongué","given":"Claudia Anahí"},{"family":"Pagnussat","given":"Gabriela Carolina"},{"family":"Fiol","given":"Diego Fernando"}],"issued":{"date-parts":[["2017",4]]}}}],"schema":"https://github.com/citation-style-language/schema/raw/master/csl-citation.json"}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eastAsia="ru-RU"/>
              </w:rPr>
              <w:t>[144]</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35</w:t>
            </w:r>
          </w:p>
        </w:tc>
        <w:tc>
          <w:tcPr>
            <w:tcW w:w="1062"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eastAsia="ru-RU"/>
              </w:rPr>
            </w:pPr>
            <w:r w:rsidRPr="00754B51">
              <w:rPr>
                <w:rFonts w:ascii="Palatino Linotype" w:eastAsia="Palatino Linotype" w:hAnsi="Palatino Linotype" w:cs="Palatino Linotype"/>
                <w:b/>
                <w:i/>
                <w:sz w:val="16"/>
                <w:szCs w:val="16"/>
                <w:lang w:eastAsia="ru-RU"/>
              </w:rPr>
              <w:t>LOC108856505</w:t>
            </w:r>
          </w:p>
        </w:tc>
        <w:tc>
          <w:tcPr>
            <w:tcW w:w="701"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5</w:t>
            </w:r>
          </w:p>
        </w:tc>
        <w:tc>
          <w:tcPr>
            <w:tcW w:w="1635"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LOC108856505</w:t>
            </w:r>
          </w:p>
        </w:tc>
        <w:tc>
          <w:tcPr>
            <w:tcW w:w="2103" w:type="dxa"/>
            <w:tcBorders>
              <w:top w:val="single" w:sz="4" w:space="0" w:color="000000"/>
              <w:bottom w:val="single" w:sz="4"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c.1354C&gt;T|p.Arg452*</w:t>
            </w:r>
          </w:p>
        </w:tc>
        <w:tc>
          <w:tcPr>
            <w:tcW w:w="7373"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proofErr w:type="spellStart"/>
            <w:r w:rsidRPr="00754B51">
              <w:rPr>
                <w:rFonts w:ascii="Palatino Linotype" w:eastAsia="Palatino Linotype" w:hAnsi="Palatino Linotype" w:cs="Palatino Linotype"/>
                <w:sz w:val="16"/>
                <w:szCs w:val="16"/>
                <w:lang w:eastAsia="ru-RU"/>
              </w:rPr>
              <w:t>Response</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to</w:t>
            </w:r>
            <w:proofErr w:type="spellEnd"/>
            <w:r w:rsidRPr="00754B51">
              <w:rPr>
                <w:rFonts w:ascii="Palatino Linotype" w:eastAsia="Palatino Linotype" w:hAnsi="Palatino Linotype" w:cs="Palatino Linotype"/>
                <w:sz w:val="16"/>
                <w:szCs w:val="16"/>
                <w:lang w:eastAsia="ru-RU"/>
              </w:rPr>
              <w:t xml:space="preserve"> </w:t>
            </w:r>
            <w:proofErr w:type="spellStart"/>
            <w:r w:rsidRPr="00754B51">
              <w:rPr>
                <w:rFonts w:ascii="Palatino Linotype" w:eastAsia="Palatino Linotype" w:hAnsi="Palatino Linotype" w:cs="Palatino Linotype"/>
                <w:sz w:val="16"/>
                <w:szCs w:val="16"/>
                <w:lang w:eastAsia="ru-RU"/>
              </w:rPr>
              <w:t>hypoxia</w:t>
            </w:r>
            <w:proofErr w:type="spellEnd"/>
            <w:r w:rsidRPr="00754B51">
              <w:rPr>
                <w:rFonts w:ascii="Palatino Linotype" w:eastAsia="Palatino Linotype" w:hAnsi="Palatino Linotype" w:cs="Palatino Linotype"/>
                <w:sz w:val="16"/>
                <w:szCs w:val="16"/>
                <w:lang w:eastAsia="ru-RU"/>
              </w:rPr>
              <w:t>.</w:t>
            </w:r>
          </w:p>
        </w:tc>
        <w:tc>
          <w:tcPr>
            <w:tcW w:w="958"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eastAsia="ru-RU"/>
              </w:rPr>
            </w:pPr>
            <w:r w:rsidRPr="00754B51">
              <w:rPr>
                <w:rFonts w:ascii="Palatino Linotype" w:eastAsia="Palatino Linotype" w:hAnsi="Palatino Linotype" w:cs="Palatino Linotype"/>
                <w:sz w:val="16"/>
                <w:szCs w:val="16"/>
                <w:lang w:eastAsia="ru-RU"/>
              </w:rPr>
              <w:t>1</w:t>
            </w:r>
          </w:p>
        </w:tc>
        <w:tc>
          <w:tcPr>
            <w:tcW w:w="1110" w:type="dxa"/>
            <w:tcBorders>
              <w:top w:val="single" w:sz="4" w:space="0" w:color="000000"/>
              <w:bottom w:val="single" w:sz="4"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20"/>
                <w:szCs w:val="20"/>
                <w:lang w:eastAsia="ru-RU"/>
              </w:rPr>
              <w:fldChar w:fldCharType="begin"/>
            </w:r>
            <w:r w:rsidRPr="00754B51">
              <w:rPr>
                <w:rFonts w:ascii="Palatino Linotype" w:eastAsia="Palatino Linotype" w:hAnsi="Palatino Linotype" w:cs="Palatino Linotype"/>
                <w:sz w:val="16"/>
                <w:szCs w:val="16"/>
                <w:lang w:eastAsia="ru-RU"/>
              </w:rPr>
              <w:instrText xml:space="preserve"> ADDIN ZOTERO_ITEM CSL_CITATION {"citationID":"JTKhdXSA","properties":{"formattedCitation":"[145]","plainCitation":"[145]","noteIndex":0},"citationItems":[{"id":1862,"uris":["http://zotero.org/users/9833672/items/CKQKSZCH"],"itemData":{"id":1862,"type":"article-journal","abstract":"Transcriptional activation in response to hypoxia in plants is orchestrated by ethylene-responsive factor group VII (ERF-VII) transcription factors, which are stable during hypoxia but destabilized during normoxia through their targeting to the N-end rule pathway of selective proteolysis. Whereas the conditionally expressed ERF-VII genes enable effective flooding survival strategies in rice, the constitutive accumulation of N-end-rule-insensitive versions of the Arabidopsis thaliana ERF-VII factor RAP2.12 is maladaptive. This suggests that transcriptional activation under hypoxia that leads to anaerobic metabolism may need to be fine-tuned. However, it is presently unknown whether a counterbalance of RAP2.12 exists. Genome-wide transcriptome analyses identified an uncharacterized trihelix transcription factor gene, which we named HYPOXIA RESPONSE ATTENUATOR1 (HRA1), as highly up-regulated by hypoxia. HRA1 counteracts the induction of core low oxygen-responsive genes and transcriptional activation of hypoxia-responsive promoters by RAP2.12. By yeast-two-hybrid assays and chromatin immunoprecipitation we demonstrated that HRA1 interacts with the RAP2.12 protein but with only a few genomic DNA regions from hypoxia-regulated genes, indicating that HRA1 modulates RAP2.12 through protein-protein interaction. Comparison of the low oxygen response of tissues characterized by different levels of metabolic hypoxia (i.e., the shoot apica</w:instrText>
            </w:r>
            <w:r w:rsidRPr="00754B51">
              <w:rPr>
                <w:rFonts w:ascii="Palatino Linotype" w:eastAsia="Palatino Linotype" w:hAnsi="Palatino Linotype" w:cs="Palatino Linotype"/>
                <w:sz w:val="16"/>
                <w:szCs w:val="16"/>
                <w:lang w:val="en-US" w:eastAsia="ru-RU"/>
              </w:rPr>
              <w:instrText xml:space="preserve">l zone versus mature rosette leaves) revealed that the antagonistic interplay between RAP2.12 and HRA1 enables a flexible response to fluctuating hypoxia and is of importance to stress survival. In Arabidopsis, an effective low oxygen-sensing response requires RAP2.12 stabilization followed by HRA1 induction to modulate the extent of the anaerobic response by negative feedback regulation of RAP2.12. This mechanism is crucial for plant survival under suboptimal oxygenation conditions. The discovery of the feedback loop regulating the oxygen-sensing mechanism in plants opens new perspectives for breeding flood-resistant crops.","container-title":"PLoS biology","DOI":"10.1371/journal.pbio.1001950","ISSN":"1545-7885","issue":"9","journalAbbreviation":"PLoS Biol","language":"eng","note":"number: 9\nPMID: 25226037\nPMCID: PMC4165759","page":"e1001950","source":"PubMed","title":"A trihelix DNA binding protein counterbalances hypoxia-responsive transcriptional activation in Arabidopsis","volume":"12","author":[{"family":"Giuntoli","given":"Beatrice"},{"family":"Lee","given":"Seung Cho"},{"family":"Licausi","given":"Francesco"},{"family":"Kosmacz","given":"Monika"},{"family":"Oosumi","given":"Teruko"},{"family":"Dongen","given":"Joost T.","non-dropping-particle":"van"},{"family":"Bailey-Serres","given":"Julia"},{"family":"Perata","given":"Pierdomenico"}],"issued":{"date-parts":[["2014",9]]}}}],"schema":"https://github.com/citation-style-language/schema/raw/master/csl-citation.json"} </w:instrText>
            </w:r>
            <w:r w:rsidRPr="00754B51">
              <w:rPr>
                <w:rFonts w:ascii="Palatino Linotype" w:eastAsia="Palatino Linotype" w:hAnsi="Palatino Linotype" w:cs="Palatino Linotype"/>
                <w:sz w:val="16"/>
                <w:szCs w:val="16"/>
                <w:lang w:eastAsia="ru-RU"/>
              </w:rPr>
              <w:fldChar w:fldCharType="separate"/>
            </w:r>
            <w:r w:rsidRPr="00754B51">
              <w:rPr>
                <w:rFonts w:ascii="Palatino Linotype" w:eastAsia="Palatino Linotype" w:hAnsi="Palatino Linotype" w:cs="Palatino Linotype"/>
                <w:sz w:val="16"/>
                <w:szCs w:val="20"/>
                <w:lang w:val="en-US" w:eastAsia="ru-RU"/>
              </w:rPr>
              <w:t>[145]</w:t>
            </w:r>
            <w:r w:rsidRPr="00754B51">
              <w:rPr>
                <w:rFonts w:ascii="Palatino Linotype" w:eastAsia="Palatino Linotype" w:hAnsi="Palatino Linotype" w:cs="Palatino Linotype"/>
                <w:sz w:val="16"/>
                <w:szCs w:val="16"/>
                <w:lang w:eastAsia="ru-RU"/>
              </w:rPr>
              <w:fldChar w:fldCharType="end"/>
            </w:r>
          </w:p>
        </w:tc>
      </w:tr>
      <w:tr w:rsidR="00754B51" w:rsidRPr="00754B51" w:rsidTr="00623CB8">
        <w:trPr>
          <w:jc w:val="center"/>
        </w:trPr>
        <w:tc>
          <w:tcPr>
            <w:tcW w:w="454"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36</w:t>
            </w:r>
          </w:p>
        </w:tc>
        <w:tc>
          <w:tcPr>
            <w:tcW w:w="1062"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b/>
                <w:i/>
                <w:sz w:val="16"/>
                <w:szCs w:val="16"/>
                <w:lang w:val="en-US" w:eastAsia="ru-RU"/>
              </w:rPr>
            </w:pPr>
            <w:r w:rsidRPr="00754B51">
              <w:rPr>
                <w:rFonts w:ascii="Palatino Linotype" w:eastAsia="Palatino Linotype" w:hAnsi="Palatino Linotype" w:cs="Palatino Linotype"/>
                <w:b/>
                <w:i/>
                <w:sz w:val="16"/>
                <w:szCs w:val="16"/>
                <w:lang w:val="en-US" w:eastAsia="ru-RU"/>
              </w:rPr>
              <w:t>LOC108854537</w:t>
            </w:r>
          </w:p>
        </w:tc>
        <w:tc>
          <w:tcPr>
            <w:tcW w:w="701"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635"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LOC108854537</w:t>
            </w:r>
          </w:p>
        </w:tc>
        <w:tc>
          <w:tcPr>
            <w:tcW w:w="2103" w:type="dxa"/>
            <w:tcBorders>
              <w:top w:val="single" w:sz="4" w:space="0" w:color="000000"/>
              <w:bottom w:val="single" w:sz="8" w:space="0" w:color="000000"/>
            </w:tcBorders>
            <w:shd w:val="clear" w:color="auto" w:fill="auto"/>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c.3G&gt;A|p.Met1</w:t>
            </w:r>
          </w:p>
        </w:tc>
        <w:tc>
          <w:tcPr>
            <w:tcW w:w="7373" w:type="dxa"/>
            <w:tcBorders>
              <w:top w:val="single" w:sz="4" w:space="0" w:color="000000"/>
              <w:bottom w:val="single" w:sz="8"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No data</w:t>
            </w:r>
          </w:p>
        </w:tc>
        <w:tc>
          <w:tcPr>
            <w:tcW w:w="958" w:type="dxa"/>
            <w:tcBorders>
              <w:top w:val="single" w:sz="4" w:space="0" w:color="000000"/>
              <w:bottom w:val="single" w:sz="8"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r w:rsidRPr="00754B51">
              <w:rPr>
                <w:rFonts w:ascii="Palatino Linotype" w:eastAsia="Palatino Linotype" w:hAnsi="Palatino Linotype" w:cs="Palatino Linotype"/>
                <w:sz w:val="16"/>
                <w:szCs w:val="16"/>
                <w:lang w:val="en-US" w:eastAsia="ru-RU"/>
              </w:rPr>
              <w:t>1</w:t>
            </w:r>
          </w:p>
        </w:tc>
        <w:tc>
          <w:tcPr>
            <w:tcW w:w="1110" w:type="dxa"/>
            <w:tcBorders>
              <w:top w:val="single" w:sz="4" w:space="0" w:color="000000"/>
              <w:bottom w:val="single" w:sz="8" w:space="0" w:color="000000"/>
            </w:tcBorders>
            <w:shd w:val="clear" w:color="auto" w:fill="auto"/>
            <w:tcMar>
              <w:left w:w="0" w:type="dxa"/>
              <w:right w:w="0" w:type="dxa"/>
            </w:tcMar>
            <w:vAlign w:val="center"/>
          </w:tcPr>
          <w:p w:rsidR="00754B51" w:rsidRPr="00754B51" w:rsidRDefault="00754B51" w:rsidP="00754B51">
            <w:pPr>
              <w:widowControl w:val="0"/>
              <w:suppressAutoHyphens/>
              <w:spacing w:after="0" w:line="240" w:lineRule="auto"/>
              <w:jc w:val="center"/>
              <w:rPr>
                <w:rFonts w:ascii="Palatino Linotype" w:eastAsia="Palatino Linotype" w:hAnsi="Palatino Linotype" w:cs="Palatino Linotype"/>
                <w:sz w:val="16"/>
                <w:szCs w:val="16"/>
                <w:lang w:val="en-US" w:eastAsia="ru-RU"/>
              </w:rPr>
            </w:pPr>
          </w:p>
        </w:tc>
      </w:tr>
    </w:tbl>
    <w:p w:rsidR="0076439B" w:rsidRPr="00754B51" w:rsidRDefault="0076439B">
      <w:pPr>
        <w:rPr>
          <w:rFonts w:ascii="Palatino Linotype" w:hAnsi="Palatino Linotype"/>
          <w:sz w:val="16"/>
        </w:rPr>
      </w:pPr>
    </w:p>
    <w:sectPr w:rsidR="0076439B" w:rsidRPr="00754B51" w:rsidSect="00754B5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51" w:rsidRDefault="00754B51">
    <w:pPr>
      <w:tabs>
        <w:tab w:val="center" w:pos="4153"/>
        <w:tab w:val="right" w:pos="8306"/>
      </w:tabs>
      <w:rPr>
        <w:color w:val="00000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51" w:rsidRDefault="00754B51">
    <w:pPr>
      <w:tabs>
        <w:tab w:val="right" w:pos="10466"/>
      </w:tabs>
      <w:rPr>
        <w:sz w:val="16"/>
        <w:szCs w:val="16"/>
        <w:lang w:val="en-US"/>
      </w:rPr>
    </w:pPr>
    <w:r>
      <w:rPr>
        <w:i/>
        <w:sz w:val="16"/>
        <w:szCs w:val="16"/>
        <w:lang w:val="en-US"/>
      </w:rPr>
      <w:t xml:space="preserve">Int. J. Mol. Sci. </w:t>
    </w:r>
    <w:r>
      <w:rPr>
        <w:b/>
        <w:sz w:val="16"/>
        <w:szCs w:val="16"/>
        <w:lang w:val="en-US"/>
      </w:rPr>
      <w:t>2024</w:t>
    </w:r>
    <w:r>
      <w:rPr>
        <w:sz w:val="16"/>
        <w:szCs w:val="16"/>
        <w:lang w:val="en-US"/>
      </w:rPr>
      <w:t>,</w:t>
    </w:r>
    <w:r>
      <w:rPr>
        <w:i/>
        <w:sz w:val="16"/>
        <w:szCs w:val="16"/>
        <w:lang w:val="en-US"/>
      </w:rPr>
      <w:t xml:space="preserve"> 25</w:t>
    </w:r>
    <w:r>
      <w:rPr>
        <w:sz w:val="16"/>
        <w:szCs w:val="16"/>
        <w:lang w:val="en-US"/>
      </w:rPr>
      <w:t>, x FOR PEER REVIEW</w:t>
    </w:r>
    <w:r>
      <w:rPr>
        <w:sz w:val="16"/>
        <w:szCs w:val="16"/>
      </w:rPr>
      <w:fldChar w:fldCharType="begin"/>
    </w:r>
    <w:r w:rsidRPr="00475336">
      <w:rPr>
        <w:sz w:val="16"/>
        <w:szCs w:val="16"/>
        <w:lang w:val="en-US"/>
        <w:rPrChange w:id="1" w:author="Пользователь" w:date="2024-04-03T14:41:00Z">
          <w:rPr>
            <w:sz w:val="16"/>
            <w:szCs w:val="16"/>
          </w:rPr>
        </w:rPrChange>
      </w:rPr>
      <w:instrText xml:space="preserve"> PAGE </w:instrText>
    </w:r>
    <w:r>
      <w:rPr>
        <w:sz w:val="16"/>
        <w:szCs w:val="16"/>
      </w:rPr>
      <w:fldChar w:fldCharType="separate"/>
    </w:r>
    <w:r>
      <w:rPr>
        <w:noProof/>
        <w:sz w:val="16"/>
        <w:szCs w:val="16"/>
        <w:lang w:val="en-US"/>
      </w:rPr>
      <w:t>2</w:t>
    </w:r>
    <w:r>
      <w:rPr>
        <w:sz w:val="16"/>
        <w:szCs w:val="16"/>
      </w:rPr>
      <w:fldChar w:fldCharType="end"/>
    </w:r>
    <w:r>
      <w:rPr>
        <w:sz w:val="16"/>
        <w:szCs w:val="16"/>
        <w:lang w:val="en-US"/>
      </w:rPr>
      <w:t xml:space="preserve"> of </w:t>
    </w:r>
    <w:r>
      <w:rPr>
        <w:sz w:val="16"/>
        <w:szCs w:val="16"/>
      </w:rPr>
      <w:fldChar w:fldCharType="begin"/>
    </w:r>
    <w:r w:rsidRPr="00475336">
      <w:rPr>
        <w:sz w:val="16"/>
        <w:szCs w:val="16"/>
        <w:lang w:val="en-US"/>
        <w:rPrChange w:id="2" w:author="Пользователь" w:date="2024-04-03T14:41:00Z">
          <w:rPr>
            <w:sz w:val="16"/>
            <w:szCs w:val="16"/>
          </w:rPr>
        </w:rPrChange>
      </w:rPr>
      <w:instrText xml:space="preserve"> NUMPAGES </w:instrText>
    </w:r>
    <w:r>
      <w:rPr>
        <w:sz w:val="16"/>
        <w:szCs w:val="16"/>
      </w:rPr>
      <w:fldChar w:fldCharType="separate"/>
    </w:r>
    <w:r>
      <w:rPr>
        <w:noProof/>
        <w:sz w:val="16"/>
        <w:szCs w:val="16"/>
        <w:lang w:val="en-US"/>
      </w:rPr>
      <w:t>8</w:t>
    </w:r>
    <w:r>
      <w:rPr>
        <w:sz w:val="16"/>
        <w:szCs w:val="16"/>
      </w:rPr>
      <w:fldChar w:fldCharType="end"/>
    </w:r>
  </w:p>
  <w:p w:rsidR="00754B51" w:rsidRDefault="00754B51">
    <w:pPr>
      <w:pBdr>
        <w:bottom w:val="single" w:sz="4" w:space="1" w:color="000000"/>
      </w:pBdr>
      <w:tabs>
        <w:tab w:val="right" w:pos="8844"/>
      </w:tabs>
      <w:spacing w:after="480" w:line="93" w:lineRule="auto"/>
      <w:rPr>
        <w:sz w:val="16"/>
        <w:szCs w:val="1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269D8"/>
    <w:multiLevelType w:val="multilevel"/>
    <w:tmpl w:val="C2C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31436"/>
    <w:multiLevelType w:val="multilevel"/>
    <w:tmpl w:val="390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74"/>
    <w:rsid w:val="00445874"/>
    <w:rsid w:val="00754B51"/>
    <w:rsid w:val="0076439B"/>
    <w:rsid w:val="0098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50AE"/>
  <w15:chartTrackingRefBased/>
  <w15:docId w15:val="{5BCDF974-625E-426F-81BB-A85A8DDE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4B51"/>
    <w:pPr>
      <w:keepNext/>
      <w:keepLines/>
      <w:suppressAutoHyphens/>
      <w:spacing w:before="480" w:after="0" w:line="276" w:lineRule="auto"/>
      <w:outlineLvl w:val="0"/>
    </w:pPr>
    <w:rPr>
      <w:rFonts w:ascii="Cambria" w:eastAsia="Cambria" w:hAnsi="Cambria" w:cs="Cambria"/>
      <w:b/>
      <w:color w:val="366091"/>
      <w:sz w:val="28"/>
      <w:szCs w:val="28"/>
      <w:lang w:eastAsia="ru-RU"/>
    </w:rPr>
  </w:style>
  <w:style w:type="paragraph" w:styleId="2">
    <w:name w:val="heading 2"/>
    <w:basedOn w:val="a"/>
    <w:next w:val="a"/>
    <w:link w:val="20"/>
    <w:qFormat/>
    <w:rsid w:val="00754B51"/>
    <w:pPr>
      <w:keepNext/>
      <w:keepLines/>
      <w:suppressAutoHyphens/>
      <w:spacing w:before="200" w:after="0" w:line="276" w:lineRule="auto"/>
      <w:outlineLvl w:val="1"/>
    </w:pPr>
    <w:rPr>
      <w:rFonts w:ascii="Cambria" w:eastAsia="Cambria" w:hAnsi="Cambria" w:cs="Cambria"/>
      <w:b/>
      <w:color w:val="4F81BD"/>
      <w:sz w:val="26"/>
      <w:szCs w:val="26"/>
      <w:lang w:eastAsia="ru-RU"/>
    </w:rPr>
  </w:style>
  <w:style w:type="paragraph" w:styleId="3">
    <w:name w:val="heading 3"/>
    <w:basedOn w:val="a"/>
    <w:next w:val="a"/>
    <w:link w:val="30"/>
    <w:qFormat/>
    <w:rsid w:val="00754B51"/>
    <w:pPr>
      <w:keepNext/>
      <w:keepLines/>
      <w:suppressAutoHyphens/>
      <w:spacing w:before="40" w:after="0" w:line="276" w:lineRule="auto"/>
      <w:outlineLvl w:val="2"/>
    </w:pPr>
    <w:rPr>
      <w:rFonts w:ascii="Cambria" w:eastAsia="Cambria" w:hAnsi="Cambria" w:cs="Cambria"/>
      <w:color w:val="243F61"/>
      <w:sz w:val="24"/>
      <w:szCs w:val="24"/>
      <w:lang w:eastAsia="ru-RU"/>
    </w:rPr>
  </w:style>
  <w:style w:type="paragraph" w:styleId="4">
    <w:name w:val="heading 4"/>
    <w:basedOn w:val="a"/>
    <w:next w:val="a"/>
    <w:link w:val="40"/>
    <w:qFormat/>
    <w:rsid w:val="00754B51"/>
    <w:pPr>
      <w:keepNext/>
      <w:keepLines/>
      <w:suppressAutoHyphens/>
      <w:spacing w:before="200" w:after="0" w:line="276" w:lineRule="auto"/>
      <w:outlineLvl w:val="3"/>
    </w:pPr>
    <w:rPr>
      <w:rFonts w:ascii="Cambria" w:eastAsia="Cambria" w:hAnsi="Cambria" w:cs="Cambria"/>
      <w:b/>
      <w:i/>
      <w:color w:val="4F81BD"/>
      <w:lang w:eastAsia="ru-RU"/>
    </w:rPr>
  </w:style>
  <w:style w:type="paragraph" w:styleId="5">
    <w:name w:val="heading 5"/>
    <w:basedOn w:val="a"/>
    <w:next w:val="a"/>
    <w:link w:val="50"/>
    <w:qFormat/>
    <w:rsid w:val="00754B51"/>
    <w:pPr>
      <w:suppressAutoHyphens/>
      <w:spacing w:after="200" w:line="240" w:lineRule="auto"/>
      <w:outlineLvl w:val="4"/>
    </w:pPr>
    <w:rPr>
      <w:rFonts w:ascii="Times New Roman" w:eastAsia="Times New Roman" w:hAnsi="Times New Roman" w:cs="Times New Roman"/>
      <w:b/>
      <w:color w:val="000000"/>
      <w:sz w:val="20"/>
      <w:szCs w:val="20"/>
      <w:lang w:eastAsia="ru-RU"/>
    </w:rPr>
  </w:style>
  <w:style w:type="paragraph" w:styleId="6">
    <w:name w:val="heading 6"/>
    <w:basedOn w:val="a"/>
    <w:next w:val="a"/>
    <w:link w:val="60"/>
    <w:qFormat/>
    <w:rsid w:val="00754B51"/>
    <w:pPr>
      <w:keepNext/>
      <w:keepLines/>
      <w:suppressAutoHyphens/>
      <w:spacing w:before="200" w:after="0" w:line="276" w:lineRule="auto"/>
      <w:outlineLvl w:val="5"/>
    </w:pPr>
    <w:rPr>
      <w:rFonts w:ascii="Cambria" w:eastAsia="Cambria" w:hAnsi="Cambria" w:cs="Cambria"/>
      <w:i/>
      <w:color w:val="24406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54B51"/>
    <w:rPr>
      <w:rFonts w:ascii="Cambria" w:eastAsia="Cambria" w:hAnsi="Cambria" w:cs="Cambria"/>
      <w:b/>
      <w:color w:val="366091"/>
      <w:sz w:val="28"/>
      <w:szCs w:val="28"/>
      <w:lang w:eastAsia="ru-RU"/>
    </w:rPr>
  </w:style>
  <w:style w:type="character" w:customStyle="1" w:styleId="20">
    <w:name w:val="Заголовок 2 Знак"/>
    <w:basedOn w:val="a0"/>
    <w:link w:val="2"/>
    <w:rsid w:val="00754B51"/>
    <w:rPr>
      <w:rFonts w:ascii="Cambria" w:eastAsia="Cambria" w:hAnsi="Cambria" w:cs="Cambria"/>
      <w:b/>
      <w:color w:val="4F81BD"/>
      <w:sz w:val="26"/>
      <w:szCs w:val="26"/>
      <w:lang w:eastAsia="ru-RU"/>
    </w:rPr>
  </w:style>
  <w:style w:type="character" w:customStyle="1" w:styleId="30">
    <w:name w:val="Заголовок 3 Знак"/>
    <w:basedOn w:val="a0"/>
    <w:link w:val="3"/>
    <w:rsid w:val="00754B51"/>
    <w:rPr>
      <w:rFonts w:ascii="Cambria" w:eastAsia="Cambria" w:hAnsi="Cambria" w:cs="Cambria"/>
      <w:color w:val="243F61"/>
      <w:sz w:val="24"/>
      <w:szCs w:val="24"/>
      <w:lang w:eastAsia="ru-RU"/>
    </w:rPr>
  </w:style>
  <w:style w:type="character" w:customStyle="1" w:styleId="40">
    <w:name w:val="Заголовок 4 Знак"/>
    <w:basedOn w:val="a0"/>
    <w:link w:val="4"/>
    <w:rsid w:val="00754B51"/>
    <w:rPr>
      <w:rFonts w:ascii="Cambria" w:eastAsia="Cambria" w:hAnsi="Cambria" w:cs="Cambria"/>
      <w:b/>
      <w:i/>
      <w:color w:val="4F81BD"/>
      <w:lang w:eastAsia="ru-RU"/>
    </w:rPr>
  </w:style>
  <w:style w:type="character" w:customStyle="1" w:styleId="50">
    <w:name w:val="Заголовок 5 Знак"/>
    <w:basedOn w:val="a0"/>
    <w:link w:val="5"/>
    <w:rsid w:val="00754B51"/>
    <w:rPr>
      <w:rFonts w:ascii="Times New Roman" w:eastAsia="Times New Roman" w:hAnsi="Times New Roman" w:cs="Times New Roman"/>
      <w:b/>
      <w:color w:val="000000"/>
      <w:sz w:val="20"/>
      <w:szCs w:val="20"/>
      <w:lang w:eastAsia="ru-RU"/>
    </w:rPr>
  </w:style>
  <w:style w:type="character" w:customStyle="1" w:styleId="60">
    <w:name w:val="Заголовок 6 Знак"/>
    <w:basedOn w:val="a0"/>
    <w:link w:val="6"/>
    <w:rsid w:val="00754B51"/>
    <w:rPr>
      <w:rFonts w:ascii="Cambria" w:eastAsia="Cambria" w:hAnsi="Cambria" w:cs="Cambria"/>
      <w:i/>
      <w:color w:val="244061"/>
      <w:lang w:eastAsia="ru-RU"/>
    </w:rPr>
  </w:style>
  <w:style w:type="numbering" w:customStyle="1" w:styleId="11">
    <w:name w:val="Нет списка1"/>
    <w:next w:val="a2"/>
    <w:uiPriority w:val="99"/>
    <w:semiHidden/>
    <w:unhideWhenUsed/>
    <w:rsid w:val="00754B51"/>
  </w:style>
  <w:style w:type="character" w:customStyle="1" w:styleId="a3">
    <w:name w:val="Текст выноски Знак"/>
    <w:basedOn w:val="a0"/>
    <w:link w:val="a4"/>
    <w:uiPriority w:val="99"/>
    <w:semiHidden/>
    <w:qFormat/>
    <w:rsid w:val="00754B51"/>
    <w:rPr>
      <w:rFonts w:ascii="Tahoma" w:hAnsi="Tahoma" w:cs="Tahoma"/>
      <w:sz w:val="16"/>
      <w:szCs w:val="16"/>
    </w:rPr>
  </w:style>
  <w:style w:type="character" w:styleId="a5">
    <w:name w:val="line number"/>
    <w:basedOn w:val="a0"/>
    <w:uiPriority w:val="99"/>
    <w:semiHidden/>
    <w:unhideWhenUsed/>
    <w:qFormat/>
    <w:rsid w:val="00754B51"/>
  </w:style>
  <w:style w:type="character" w:styleId="a6">
    <w:name w:val="annotation reference"/>
    <w:basedOn w:val="a0"/>
    <w:uiPriority w:val="99"/>
    <w:semiHidden/>
    <w:unhideWhenUsed/>
    <w:qFormat/>
    <w:rsid w:val="00754B51"/>
    <w:rPr>
      <w:sz w:val="16"/>
      <w:szCs w:val="16"/>
    </w:rPr>
  </w:style>
  <w:style w:type="character" w:customStyle="1" w:styleId="a7">
    <w:name w:val="Текст примечания Знак"/>
    <w:basedOn w:val="a0"/>
    <w:link w:val="a8"/>
    <w:uiPriority w:val="99"/>
    <w:semiHidden/>
    <w:qFormat/>
    <w:rsid w:val="00754B51"/>
  </w:style>
  <w:style w:type="character" w:customStyle="1" w:styleId="a9">
    <w:name w:val="Тема примечания Знак"/>
    <w:basedOn w:val="a7"/>
    <w:link w:val="aa"/>
    <w:uiPriority w:val="99"/>
    <w:semiHidden/>
    <w:qFormat/>
    <w:rsid w:val="00754B51"/>
    <w:rPr>
      <w:b/>
      <w:bCs/>
    </w:rPr>
  </w:style>
  <w:style w:type="character" w:styleId="ab">
    <w:name w:val="Hyperlink"/>
    <w:rsid w:val="00754B51"/>
    <w:rPr>
      <w:color w:val="000080"/>
      <w:u w:val="single"/>
    </w:rPr>
  </w:style>
  <w:style w:type="character" w:customStyle="1" w:styleId="LineNumbering">
    <w:name w:val="Line Numbering"/>
    <w:rsid w:val="00754B51"/>
  </w:style>
  <w:style w:type="character" w:customStyle="1" w:styleId="hwtze">
    <w:name w:val="hwtze"/>
    <w:basedOn w:val="a0"/>
    <w:qFormat/>
    <w:rsid w:val="00754B51"/>
  </w:style>
  <w:style w:type="character" w:customStyle="1" w:styleId="rynqvb">
    <w:name w:val="rynqvb"/>
    <w:basedOn w:val="a0"/>
    <w:qFormat/>
    <w:rsid w:val="00754B51"/>
  </w:style>
  <w:style w:type="character" w:customStyle="1" w:styleId="docsum-authors">
    <w:name w:val="docsum-authors"/>
    <w:basedOn w:val="a0"/>
    <w:qFormat/>
    <w:rsid w:val="00754B51"/>
  </w:style>
  <w:style w:type="character" w:customStyle="1" w:styleId="docsum-journal-citation">
    <w:name w:val="docsum-journal-citation"/>
    <w:basedOn w:val="a0"/>
    <w:qFormat/>
    <w:rsid w:val="00754B51"/>
  </w:style>
  <w:style w:type="character" w:customStyle="1" w:styleId="12">
    <w:name w:val="Просмотренная гиперссылка1"/>
    <w:basedOn w:val="a0"/>
    <w:uiPriority w:val="99"/>
    <w:semiHidden/>
    <w:unhideWhenUsed/>
    <w:rsid w:val="00754B51"/>
    <w:rPr>
      <w:color w:val="800080"/>
      <w:u w:val="single"/>
    </w:rPr>
  </w:style>
  <w:style w:type="paragraph" w:customStyle="1" w:styleId="Heading">
    <w:name w:val="Heading"/>
    <w:basedOn w:val="a"/>
    <w:next w:val="ac"/>
    <w:qFormat/>
    <w:rsid w:val="00754B51"/>
    <w:pPr>
      <w:keepNext/>
      <w:suppressAutoHyphens/>
      <w:spacing w:before="240" w:after="120" w:line="240" w:lineRule="auto"/>
      <w:jc w:val="both"/>
    </w:pPr>
    <w:rPr>
      <w:rFonts w:ascii="Liberation Sans" w:eastAsia="Noto Sans CJK SC" w:hAnsi="Liberation Sans" w:cs="Lohit Devanagari"/>
      <w:sz w:val="28"/>
      <w:szCs w:val="28"/>
      <w:lang w:eastAsia="ru-RU"/>
    </w:rPr>
  </w:style>
  <w:style w:type="paragraph" w:styleId="ac">
    <w:name w:val="Body Text"/>
    <w:basedOn w:val="a"/>
    <w:link w:val="ad"/>
    <w:rsid w:val="00754B51"/>
    <w:pPr>
      <w:suppressAutoHyphens/>
      <w:spacing w:after="140" w:line="276" w:lineRule="auto"/>
      <w:jc w:val="both"/>
    </w:pPr>
    <w:rPr>
      <w:rFonts w:ascii="Palatino Linotype" w:eastAsia="Palatino Linotype" w:hAnsi="Palatino Linotype" w:cs="Palatino Linotype"/>
      <w:sz w:val="20"/>
      <w:szCs w:val="20"/>
      <w:lang w:eastAsia="ru-RU"/>
    </w:rPr>
  </w:style>
  <w:style w:type="character" w:customStyle="1" w:styleId="ad">
    <w:name w:val="Основной текст Знак"/>
    <w:basedOn w:val="a0"/>
    <w:link w:val="ac"/>
    <w:rsid w:val="00754B51"/>
    <w:rPr>
      <w:rFonts w:ascii="Palatino Linotype" w:eastAsia="Palatino Linotype" w:hAnsi="Palatino Linotype" w:cs="Palatino Linotype"/>
      <w:sz w:val="20"/>
      <w:szCs w:val="20"/>
      <w:lang w:eastAsia="ru-RU"/>
    </w:rPr>
  </w:style>
  <w:style w:type="paragraph" w:styleId="ae">
    <w:name w:val="List"/>
    <w:basedOn w:val="ac"/>
    <w:rsid w:val="00754B51"/>
    <w:rPr>
      <w:rFonts w:cs="Lohit Devanagari"/>
    </w:rPr>
  </w:style>
  <w:style w:type="paragraph" w:styleId="af">
    <w:name w:val="caption"/>
    <w:basedOn w:val="a"/>
    <w:qFormat/>
    <w:rsid w:val="00754B51"/>
    <w:pPr>
      <w:suppressLineNumbers/>
      <w:suppressAutoHyphens/>
      <w:spacing w:before="120" w:after="120" w:line="240" w:lineRule="auto"/>
      <w:jc w:val="both"/>
    </w:pPr>
    <w:rPr>
      <w:rFonts w:ascii="Palatino Linotype" w:eastAsia="Palatino Linotype" w:hAnsi="Palatino Linotype" w:cs="Lohit Devanagari"/>
      <w:i/>
      <w:iCs/>
      <w:sz w:val="24"/>
      <w:szCs w:val="24"/>
      <w:lang w:eastAsia="ru-RU"/>
    </w:rPr>
  </w:style>
  <w:style w:type="paragraph" w:customStyle="1" w:styleId="Index">
    <w:name w:val="Index"/>
    <w:basedOn w:val="a"/>
    <w:qFormat/>
    <w:rsid w:val="00754B51"/>
    <w:pPr>
      <w:suppressLineNumbers/>
      <w:suppressAutoHyphens/>
      <w:spacing w:after="0" w:line="240" w:lineRule="auto"/>
      <w:jc w:val="both"/>
    </w:pPr>
    <w:rPr>
      <w:rFonts w:ascii="Palatino Linotype" w:eastAsia="Palatino Linotype" w:hAnsi="Palatino Linotype" w:cs="Lohit Devanagari"/>
      <w:sz w:val="20"/>
      <w:szCs w:val="20"/>
      <w:lang w:eastAsia="ru-RU"/>
    </w:rPr>
  </w:style>
  <w:style w:type="paragraph" w:styleId="af0">
    <w:name w:val="Title"/>
    <w:basedOn w:val="a"/>
    <w:next w:val="a"/>
    <w:link w:val="af1"/>
    <w:qFormat/>
    <w:rsid w:val="00754B51"/>
    <w:pPr>
      <w:keepNext/>
      <w:keepLines/>
      <w:suppressAutoHyphens/>
      <w:spacing w:before="480" w:after="120" w:line="276" w:lineRule="auto"/>
    </w:pPr>
    <w:rPr>
      <w:rFonts w:ascii="Calibri" w:eastAsia="Calibri" w:hAnsi="Calibri" w:cs="Calibri"/>
      <w:b/>
      <w:color w:val="000000"/>
      <w:sz w:val="72"/>
      <w:szCs w:val="72"/>
      <w:lang w:eastAsia="ru-RU"/>
    </w:rPr>
  </w:style>
  <w:style w:type="character" w:customStyle="1" w:styleId="af1">
    <w:name w:val="Заголовок Знак"/>
    <w:basedOn w:val="a0"/>
    <w:link w:val="af0"/>
    <w:rsid w:val="00754B51"/>
    <w:rPr>
      <w:rFonts w:ascii="Calibri" w:eastAsia="Calibri" w:hAnsi="Calibri" w:cs="Calibri"/>
      <w:b/>
      <w:color w:val="000000"/>
      <w:sz w:val="72"/>
      <w:szCs w:val="72"/>
      <w:lang w:eastAsia="ru-RU"/>
    </w:rPr>
  </w:style>
  <w:style w:type="paragraph" w:styleId="af2">
    <w:name w:val="Subtitle"/>
    <w:basedOn w:val="a"/>
    <w:next w:val="a"/>
    <w:link w:val="af3"/>
    <w:qFormat/>
    <w:rsid w:val="00754B51"/>
    <w:pPr>
      <w:keepNext/>
      <w:keepLines/>
      <w:suppressAutoHyphens/>
      <w:spacing w:before="360" w:after="80" w:line="276" w:lineRule="auto"/>
    </w:pPr>
    <w:rPr>
      <w:rFonts w:ascii="Georgia" w:eastAsia="Georgia" w:hAnsi="Georgia" w:cs="Georgia"/>
      <w:i/>
      <w:color w:val="666666"/>
      <w:sz w:val="48"/>
      <w:szCs w:val="48"/>
      <w:lang w:eastAsia="ru-RU"/>
    </w:rPr>
  </w:style>
  <w:style w:type="character" w:customStyle="1" w:styleId="af3">
    <w:name w:val="Подзаголовок Знак"/>
    <w:basedOn w:val="a0"/>
    <w:link w:val="af2"/>
    <w:rsid w:val="00754B51"/>
    <w:rPr>
      <w:rFonts w:ascii="Georgia" w:eastAsia="Georgia" w:hAnsi="Georgia" w:cs="Georgia"/>
      <w:i/>
      <w:color w:val="666666"/>
      <w:sz w:val="48"/>
      <w:szCs w:val="48"/>
      <w:lang w:eastAsia="ru-RU"/>
    </w:rPr>
  </w:style>
  <w:style w:type="paragraph" w:styleId="a4">
    <w:name w:val="Balloon Text"/>
    <w:basedOn w:val="a"/>
    <w:link w:val="a3"/>
    <w:uiPriority w:val="99"/>
    <w:semiHidden/>
    <w:unhideWhenUsed/>
    <w:qFormat/>
    <w:rsid w:val="00754B51"/>
    <w:pPr>
      <w:suppressAutoHyphens/>
      <w:spacing w:after="0" w:line="240" w:lineRule="auto"/>
      <w:jc w:val="both"/>
    </w:pPr>
    <w:rPr>
      <w:rFonts w:ascii="Tahoma" w:hAnsi="Tahoma" w:cs="Tahoma"/>
      <w:sz w:val="16"/>
      <w:szCs w:val="16"/>
    </w:rPr>
  </w:style>
  <w:style w:type="character" w:customStyle="1" w:styleId="13">
    <w:name w:val="Текст выноски Знак1"/>
    <w:basedOn w:val="a0"/>
    <w:uiPriority w:val="99"/>
    <w:semiHidden/>
    <w:rsid w:val="00754B51"/>
    <w:rPr>
      <w:rFonts w:ascii="Segoe UI" w:hAnsi="Segoe UI" w:cs="Segoe UI"/>
      <w:sz w:val="18"/>
      <w:szCs w:val="18"/>
    </w:rPr>
  </w:style>
  <w:style w:type="paragraph" w:styleId="a8">
    <w:name w:val="annotation text"/>
    <w:basedOn w:val="a"/>
    <w:link w:val="a7"/>
    <w:uiPriority w:val="99"/>
    <w:semiHidden/>
    <w:unhideWhenUsed/>
    <w:qFormat/>
    <w:rsid w:val="00754B51"/>
    <w:pPr>
      <w:suppressAutoHyphens/>
      <w:spacing w:after="0" w:line="240" w:lineRule="auto"/>
      <w:jc w:val="both"/>
    </w:pPr>
  </w:style>
  <w:style w:type="character" w:customStyle="1" w:styleId="14">
    <w:name w:val="Текст примечания Знак1"/>
    <w:basedOn w:val="a0"/>
    <w:uiPriority w:val="99"/>
    <w:semiHidden/>
    <w:rsid w:val="00754B51"/>
    <w:rPr>
      <w:sz w:val="20"/>
      <w:szCs w:val="20"/>
    </w:rPr>
  </w:style>
  <w:style w:type="paragraph" w:styleId="aa">
    <w:name w:val="annotation subject"/>
    <w:basedOn w:val="a8"/>
    <w:next w:val="a8"/>
    <w:link w:val="a9"/>
    <w:uiPriority w:val="99"/>
    <w:semiHidden/>
    <w:unhideWhenUsed/>
    <w:qFormat/>
    <w:rsid w:val="00754B51"/>
    <w:rPr>
      <w:b/>
      <w:bCs/>
    </w:rPr>
  </w:style>
  <w:style w:type="character" w:customStyle="1" w:styleId="15">
    <w:name w:val="Тема примечания Знак1"/>
    <w:basedOn w:val="14"/>
    <w:uiPriority w:val="99"/>
    <w:semiHidden/>
    <w:rsid w:val="00754B51"/>
    <w:rPr>
      <w:b/>
      <w:bCs/>
      <w:sz w:val="20"/>
      <w:szCs w:val="20"/>
    </w:rPr>
  </w:style>
  <w:style w:type="paragraph" w:customStyle="1" w:styleId="FrameContents">
    <w:name w:val="Frame Contents"/>
    <w:basedOn w:val="a"/>
    <w:qFormat/>
    <w:rsid w:val="00754B51"/>
    <w:pPr>
      <w:suppressAutoHyphens/>
      <w:spacing w:after="0" w:line="240" w:lineRule="auto"/>
      <w:jc w:val="both"/>
    </w:pPr>
    <w:rPr>
      <w:rFonts w:ascii="Palatino Linotype" w:eastAsia="Palatino Linotype" w:hAnsi="Palatino Linotype" w:cs="Palatino Linotype"/>
      <w:sz w:val="20"/>
      <w:szCs w:val="20"/>
      <w:lang w:eastAsia="ru-RU"/>
    </w:rPr>
  </w:style>
  <w:style w:type="paragraph" w:customStyle="1" w:styleId="HeaderandFooter">
    <w:name w:val="Header and Footer"/>
    <w:basedOn w:val="a"/>
    <w:qFormat/>
    <w:rsid w:val="00754B51"/>
    <w:pPr>
      <w:suppressAutoHyphens/>
      <w:spacing w:after="0" w:line="240" w:lineRule="auto"/>
      <w:jc w:val="both"/>
    </w:pPr>
    <w:rPr>
      <w:rFonts w:ascii="Palatino Linotype" w:eastAsia="Palatino Linotype" w:hAnsi="Palatino Linotype" w:cs="Palatino Linotype"/>
      <w:sz w:val="20"/>
      <w:szCs w:val="20"/>
      <w:lang w:eastAsia="ru-RU"/>
    </w:rPr>
  </w:style>
  <w:style w:type="paragraph" w:styleId="af4">
    <w:name w:val="header"/>
    <w:basedOn w:val="HeaderandFooter"/>
    <w:link w:val="af5"/>
    <w:rsid w:val="00754B51"/>
  </w:style>
  <w:style w:type="character" w:customStyle="1" w:styleId="af5">
    <w:name w:val="Верхний колонтитул Знак"/>
    <w:basedOn w:val="a0"/>
    <w:link w:val="af4"/>
    <w:rsid w:val="00754B51"/>
    <w:rPr>
      <w:rFonts w:ascii="Palatino Linotype" w:eastAsia="Palatino Linotype" w:hAnsi="Palatino Linotype" w:cs="Palatino Linotype"/>
      <w:sz w:val="20"/>
      <w:szCs w:val="20"/>
      <w:lang w:eastAsia="ru-RU"/>
    </w:rPr>
  </w:style>
  <w:style w:type="paragraph" w:styleId="af6">
    <w:name w:val="footer"/>
    <w:basedOn w:val="HeaderandFooter"/>
    <w:link w:val="af7"/>
    <w:rsid w:val="00754B51"/>
  </w:style>
  <w:style w:type="character" w:customStyle="1" w:styleId="af7">
    <w:name w:val="Нижний колонтитул Знак"/>
    <w:basedOn w:val="a0"/>
    <w:link w:val="af6"/>
    <w:rsid w:val="00754B51"/>
    <w:rPr>
      <w:rFonts w:ascii="Palatino Linotype" w:eastAsia="Palatino Linotype" w:hAnsi="Palatino Linotype" w:cs="Palatino Linotype"/>
      <w:sz w:val="20"/>
      <w:szCs w:val="20"/>
      <w:lang w:eastAsia="ru-RU"/>
    </w:rPr>
  </w:style>
  <w:style w:type="paragraph" w:customStyle="1" w:styleId="TableContents">
    <w:name w:val="Table Contents"/>
    <w:basedOn w:val="a"/>
    <w:qFormat/>
    <w:rsid w:val="00754B51"/>
    <w:pPr>
      <w:widowControl w:val="0"/>
      <w:suppressLineNumbers/>
      <w:suppressAutoHyphens/>
      <w:spacing w:after="0" w:line="240" w:lineRule="auto"/>
      <w:jc w:val="both"/>
    </w:pPr>
    <w:rPr>
      <w:rFonts w:ascii="Palatino Linotype" w:eastAsia="Palatino Linotype" w:hAnsi="Palatino Linotype" w:cs="Palatino Linotype"/>
      <w:sz w:val="20"/>
      <w:szCs w:val="20"/>
      <w:lang w:eastAsia="ru-RU"/>
    </w:rPr>
  </w:style>
  <w:style w:type="paragraph" w:customStyle="1" w:styleId="TableHeading">
    <w:name w:val="Table Heading"/>
    <w:basedOn w:val="TableContents"/>
    <w:qFormat/>
    <w:rsid w:val="00754B51"/>
    <w:pPr>
      <w:jc w:val="center"/>
    </w:pPr>
    <w:rPr>
      <w:b/>
      <w:bCs/>
    </w:rPr>
  </w:style>
  <w:style w:type="paragraph" w:styleId="af8">
    <w:name w:val="Bibliography"/>
    <w:basedOn w:val="a"/>
    <w:next w:val="a"/>
    <w:uiPriority w:val="37"/>
    <w:unhideWhenUsed/>
    <w:qFormat/>
    <w:rsid w:val="00754B51"/>
    <w:pPr>
      <w:suppressAutoHyphens/>
      <w:spacing w:after="0" w:line="240" w:lineRule="auto"/>
      <w:jc w:val="both"/>
    </w:pPr>
    <w:rPr>
      <w:rFonts w:ascii="Palatino Linotype" w:eastAsia="Palatino Linotype" w:hAnsi="Palatino Linotype" w:cs="Palatino Linotype"/>
      <w:sz w:val="20"/>
      <w:szCs w:val="20"/>
      <w:lang w:eastAsia="ru-RU"/>
    </w:rPr>
  </w:style>
  <w:style w:type="paragraph" w:customStyle="1" w:styleId="16">
    <w:name w:val="Обычный (веб)1"/>
    <w:basedOn w:val="a"/>
    <w:next w:val="af9"/>
    <w:uiPriority w:val="99"/>
    <w:unhideWhenUsed/>
    <w:qFormat/>
    <w:rsid w:val="00754B51"/>
    <w:pPr>
      <w:spacing w:beforeAutospacing="1" w:after="0" w:afterAutospacing="1" w:line="240" w:lineRule="auto"/>
    </w:pPr>
    <w:rPr>
      <w:rFonts w:ascii="Times New Roman" w:eastAsia="Cambria" w:hAnsi="Times New Roman" w:cs="Times New Roman"/>
      <w:sz w:val="24"/>
      <w:szCs w:val="24"/>
      <w:lang w:eastAsia="ru-RU"/>
    </w:rPr>
  </w:style>
  <w:style w:type="paragraph" w:styleId="afa">
    <w:name w:val="Revision"/>
    <w:uiPriority w:val="99"/>
    <w:semiHidden/>
    <w:qFormat/>
    <w:rsid w:val="00754B51"/>
    <w:pPr>
      <w:spacing w:after="0" w:line="240" w:lineRule="auto"/>
    </w:pPr>
    <w:rPr>
      <w:rFonts w:ascii="Palatino Linotype" w:eastAsia="Palatino Linotype" w:hAnsi="Palatino Linotype" w:cs="Palatino Linotype"/>
      <w:sz w:val="20"/>
      <w:szCs w:val="20"/>
      <w:lang w:eastAsia="ru-RU"/>
    </w:rPr>
  </w:style>
  <w:style w:type="table" w:customStyle="1" w:styleId="TableNormal">
    <w:name w:val="Table Normal"/>
    <w:rsid w:val="00754B51"/>
    <w:pPr>
      <w:suppressAutoHyphens/>
      <w:spacing w:after="0" w:line="240" w:lineRule="auto"/>
    </w:pPr>
    <w:rPr>
      <w:rFonts w:ascii="Palatino Linotype" w:eastAsia="Palatino Linotype" w:hAnsi="Palatino Linotype" w:cs="Palatino Linotype"/>
      <w:sz w:val="20"/>
      <w:szCs w:val="20"/>
      <w:lang w:eastAsia="ru-RU"/>
    </w:rPr>
    <w:tblPr>
      <w:tblCellMar>
        <w:top w:w="0" w:type="dxa"/>
        <w:left w:w="0" w:type="dxa"/>
        <w:bottom w:w="0" w:type="dxa"/>
        <w:right w:w="0" w:type="dxa"/>
      </w:tblCellMar>
    </w:tblPr>
  </w:style>
  <w:style w:type="table" w:styleId="afb">
    <w:name w:val="Table Grid"/>
    <w:basedOn w:val="a1"/>
    <w:uiPriority w:val="59"/>
    <w:rsid w:val="00754B51"/>
    <w:pPr>
      <w:suppressAutoHyphens/>
      <w:spacing w:after="0" w:line="240" w:lineRule="auto"/>
    </w:pPr>
    <w:rPr>
      <w:rFonts w:ascii="Palatino Linotype" w:eastAsia="Palatino Linotype" w:hAnsi="Palatino Linotype" w:cs="Palatino Linotyp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up-separator">
    <w:name w:val="author-sup-separator"/>
    <w:basedOn w:val="a0"/>
    <w:rsid w:val="00754B51"/>
  </w:style>
  <w:style w:type="character" w:customStyle="1" w:styleId="comma">
    <w:name w:val="comma"/>
    <w:basedOn w:val="a0"/>
    <w:rsid w:val="00754B51"/>
  </w:style>
  <w:style w:type="character" w:customStyle="1" w:styleId="id-label">
    <w:name w:val="id-label"/>
    <w:basedOn w:val="a0"/>
    <w:rsid w:val="00754B51"/>
  </w:style>
  <w:style w:type="character" w:customStyle="1" w:styleId="period">
    <w:name w:val="period"/>
    <w:basedOn w:val="a0"/>
    <w:rsid w:val="00754B51"/>
  </w:style>
  <w:style w:type="character" w:customStyle="1" w:styleId="cit">
    <w:name w:val="cit"/>
    <w:basedOn w:val="a0"/>
    <w:rsid w:val="00754B51"/>
  </w:style>
  <w:style w:type="character" w:customStyle="1" w:styleId="citation-doi">
    <w:name w:val="citation-doi"/>
    <w:basedOn w:val="a0"/>
    <w:rsid w:val="00754B51"/>
  </w:style>
  <w:style w:type="character" w:styleId="afc">
    <w:name w:val="FollowedHyperlink"/>
    <w:basedOn w:val="a0"/>
    <w:uiPriority w:val="99"/>
    <w:semiHidden/>
    <w:unhideWhenUsed/>
    <w:rsid w:val="00754B51"/>
    <w:rPr>
      <w:color w:val="954F72" w:themeColor="followedHyperlink"/>
      <w:u w:val="single"/>
    </w:rPr>
  </w:style>
  <w:style w:type="paragraph" w:styleId="af9">
    <w:name w:val="Normal (Web)"/>
    <w:basedOn w:val="a"/>
    <w:uiPriority w:val="99"/>
    <w:semiHidden/>
    <w:unhideWhenUsed/>
    <w:rsid w:val="00754B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e-suite.org/meme/tools/me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me-suite.org/meme/tools/mem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uniprot.org/uniprotkb/O64692/en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F509-6FB5-4CF0-95AF-8628120F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41160</Words>
  <Characters>234616</Characters>
  <Application>Microsoft Office Word</Application>
  <DocSecurity>0</DocSecurity>
  <Lines>1955</Lines>
  <Paragraphs>550</Paragraphs>
  <ScaleCrop>false</ScaleCrop>
  <Company/>
  <LinksUpToDate>false</LinksUpToDate>
  <CharactersWithSpaces>275226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Ксения Андреевна</dc:creator>
  <cp:keywords/>
  <dc:description/>
  <cp:lastModifiedBy>Кузнецова Ксения Андреевна</cp:lastModifiedBy>
  <cp:revision>2</cp:revision>
  <dcterms:created xsi:type="dcterms:W3CDTF">2024-04-30T11:07:00Z</dcterms:created>
  <dcterms:modified xsi:type="dcterms:W3CDTF">2024-04-30T11:10:00Z</dcterms:modified>
</cp:coreProperties>
</file>