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76817" w14:textId="47E93F40" w:rsidR="00F60BA1" w:rsidRPr="00F60BA1" w:rsidRDefault="00822D4B" w:rsidP="00F60BA1">
      <w:pPr>
        <w:rPr>
          <w:rFonts w:ascii="Cambria Math" w:hAnsi="Cambria Math" w:cs="Times New Roman"/>
          <w:sz w:val="24"/>
          <w:szCs w:val="24"/>
        </w:rPr>
      </w:pPr>
      <w:r w:rsidRPr="00F60BA1">
        <w:rPr>
          <w:rFonts w:ascii="Cambria Math" w:hAnsi="Cambria Math"/>
          <w:b/>
          <w:bCs/>
          <w:sz w:val="24"/>
          <w:szCs w:val="24"/>
        </w:rPr>
        <w:t>TABLE 1</w:t>
      </w:r>
      <w:r w:rsidR="00F60BA1">
        <w:rPr>
          <w:rFonts w:ascii="Cambria Math" w:hAnsi="Cambria Math"/>
          <w:b/>
          <w:bCs/>
          <w:sz w:val="24"/>
          <w:szCs w:val="24"/>
        </w:rPr>
        <w:t>.</w:t>
      </w:r>
      <w:r w:rsidR="00F60BA1" w:rsidRPr="00F60BA1">
        <w:rPr>
          <w:rFonts w:ascii="Cambria Math" w:hAnsi="Cambria Math"/>
          <w:b/>
          <w:bCs/>
          <w:sz w:val="24"/>
          <w:szCs w:val="24"/>
        </w:rPr>
        <w:t xml:space="preserve"> </w:t>
      </w:r>
      <w:r w:rsidR="00F60BA1" w:rsidRPr="00F60BA1">
        <w:rPr>
          <w:rFonts w:ascii="Cambria Math" w:hAnsi="Cambria Math" w:cs="Times New Roman"/>
          <w:b/>
          <w:sz w:val="24"/>
          <w:szCs w:val="24"/>
        </w:rPr>
        <w:t xml:space="preserve">ACTIVE CLINICAL TRIALS </w:t>
      </w:r>
      <w:r w:rsidR="00F60BA1" w:rsidRPr="00F60BA1">
        <w:rPr>
          <w:rFonts w:ascii="Cambria Math" w:hAnsi="Cambria Math" w:cstheme="minorHAnsi"/>
          <w:b/>
          <w:bCs/>
          <w:sz w:val="24"/>
          <w:szCs w:val="24"/>
        </w:rPr>
        <w:t>COMBINATORIAL STRATEGIES</w:t>
      </w:r>
    </w:p>
    <w:p w14:paraId="65C1E0B6" w14:textId="381459BF" w:rsidR="00404AE0" w:rsidRPr="00F60BA1" w:rsidRDefault="00F60BA1" w:rsidP="00F60BA1">
      <w:pPr>
        <w:spacing w:line="360" w:lineRule="auto"/>
        <w:jc w:val="both"/>
        <w:rPr>
          <w:rFonts w:ascii="Cambria Math" w:hAnsi="Cambria Math" w:cs="Times New Roman"/>
          <w:sz w:val="24"/>
          <w:szCs w:val="24"/>
        </w:rPr>
      </w:pPr>
      <w:r w:rsidRPr="00F60BA1">
        <w:rPr>
          <w:rFonts w:ascii="Cambria Math" w:hAnsi="Cambria Math" w:cs="Times New Roman"/>
          <w:sz w:val="24"/>
          <w:szCs w:val="24"/>
          <w:lang w:val="en-GB"/>
        </w:rPr>
        <w:t xml:space="preserve">An organised summary of </w:t>
      </w:r>
      <w:r w:rsidRPr="00F60BA1">
        <w:rPr>
          <w:rFonts w:ascii="Cambria Math" w:hAnsi="Cambria Math" w:cs="Times New Roman"/>
          <w:sz w:val="24"/>
          <w:szCs w:val="24"/>
        </w:rPr>
        <w:t>ongoing clinical trials on DCs-based cancer vaccines with combination strategies</w:t>
      </w:r>
    </w:p>
    <w:tbl>
      <w:tblPr>
        <w:tblStyle w:val="Tabellaelenco3-colore51"/>
        <w:tblpPr w:leftFromText="180" w:rightFromText="180" w:vertAnchor="text" w:horzAnchor="margin" w:tblpY="384"/>
        <w:tblW w:w="13589" w:type="dxa"/>
        <w:tblLayout w:type="fixed"/>
        <w:tblLook w:val="04A0" w:firstRow="1" w:lastRow="0" w:firstColumn="1" w:lastColumn="0" w:noHBand="0" w:noVBand="1"/>
      </w:tblPr>
      <w:tblGrid>
        <w:gridCol w:w="1668"/>
        <w:gridCol w:w="6237"/>
        <w:gridCol w:w="2910"/>
        <w:gridCol w:w="797"/>
        <w:gridCol w:w="1977"/>
      </w:tblGrid>
      <w:tr w:rsidR="00F60BA1" w14:paraId="3708BC11" w14:textId="77777777" w:rsidTr="00F60B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68" w:type="dxa"/>
            <w:vAlign w:val="center"/>
          </w:tcPr>
          <w:p w14:paraId="5C7DF7AE" w14:textId="77777777" w:rsidR="00F60BA1" w:rsidRPr="00F109EC" w:rsidRDefault="00F60BA1" w:rsidP="00F60BA1">
            <w:pPr>
              <w:jc w:val="center"/>
              <w:rPr>
                <w:b w:val="0"/>
              </w:rPr>
            </w:pPr>
            <w:r w:rsidRPr="00F109EC">
              <w:t>Study ID</w:t>
            </w:r>
          </w:p>
        </w:tc>
        <w:tc>
          <w:tcPr>
            <w:tcW w:w="6237" w:type="dxa"/>
            <w:vAlign w:val="center"/>
          </w:tcPr>
          <w:p w14:paraId="6793A354" w14:textId="77777777" w:rsidR="00F60BA1" w:rsidRPr="00F109EC" w:rsidRDefault="00F60BA1" w:rsidP="00F60B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109EC">
              <w:t>Therapeutic Strategy</w:t>
            </w:r>
          </w:p>
        </w:tc>
        <w:tc>
          <w:tcPr>
            <w:tcW w:w="2910" w:type="dxa"/>
            <w:vAlign w:val="center"/>
          </w:tcPr>
          <w:p w14:paraId="25EDB48B" w14:textId="77777777" w:rsidR="00F60BA1" w:rsidRPr="00F109EC" w:rsidRDefault="00F60BA1" w:rsidP="00F60B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109EC">
              <w:t>Condition/Disease</w:t>
            </w:r>
          </w:p>
        </w:tc>
        <w:tc>
          <w:tcPr>
            <w:tcW w:w="797" w:type="dxa"/>
            <w:vAlign w:val="center"/>
          </w:tcPr>
          <w:p w14:paraId="2B3408F8" w14:textId="77777777" w:rsidR="00F60BA1" w:rsidRPr="00F109EC" w:rsidRDefault="00F60BA1" w:rsidP="00F60B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109EC">
              <w:t>Phase</w:t>
            </w:r>
          </w:p>
        </w:tc>
        <w:tc>
          <w:tcPr>
            <w:tcW w:w="1977" w:type="dxa"/>
            <w:vAlign w:val="center"/>
          </w:tcPr>
          <w:p w14:paraId="0648EF15" w14:textId="77777777" w:rsidR="00F60BA1" w:rsidRPr="00F109EC" w:rsidRDefault="00F60BA1" w:rsidP="00F60B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109EC">
              <w:t>Status</w:t>
            </w:r>
          </w:p>
        </w:tc>
      </w:tr>
      <w:tr w:rsidR="00F60BA1" w14:paraId="5F4D813D" w14:textId="77777777" w:rsidTr="00F6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</w:tcPr>
          <w:p w14:paraId="65239DEF" w14:textId="77777777" w:rsidR="00F60BA1" w:rsidRPr="004F4D28" w:rsidRDefault="00F60BA1" w:rsidP="00F60BA1">
            <w:pPr>
              <w:jc w:val="center"/>
              <w:rPr>
                <w:rFonts w:ascii="Cambria Math" w:hAnsi="Cambria Math"/>
              </w:rPr>
            </w:pPr>
            <w:r w:rsidRPr="004F4D28">
              <w:rPr>
                <w:rFonts w:ascii="Cambria Math" w:hAnsi="Cambria Math"/>
              </w:rPr>
              <w:t>NCT01067287</w:t>
            </w:r>
          </w:p>
        </w:tc>
        <w:tc>
          <w:tcPr>
            <w:tcW w:w="6237" w:type="dxa"/>
            <w:vAlign w:val="center"/>
          </w:tcPr>
          <w:p w14:paraId="226EB7C9" w14:textId="77777777" w:rsidR="00F60BA1" w:rsidRPr="004F4D28" w:rsidRDefault="00F60BA1" w:rsidP="00F60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</w:rPr>
            </w:pPr>
            <w:r w:rsidRPr="004F4D28">
              <w:rPr>
                <w:rFonts w:ascii="Cambria Math" w:hAnsi="Cambria Math"/>
              </w:rPr>
              <w:t>CT-011 alone, or</w:t>
            </w:r>
          </w:p>
          <w:p w14:paraId="0C8D6B52" w14:textId="77777777" w:rsidR="00F60BA1" w:rsidRPr="004F4D28" w:rsidRDefault="00F60BA1" w:rsidP="00F60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</w:rPr>
            </w:pPr>
            <w:r w:rsidRPr="004F4D28">
              <w:rPr>
                <w:rFonts w:ascii="Cambria Math" w:hAnsi="Cambria Math"/>
              </w:rPr>
              <w:t>plus DC fusion vaccine after ASCT</w:t>
            </w:r>
          </w:p>
        </w:tc>
        <w:tc>
          <w:tcPr>
            <w:tcW w:w="2910" w:type="dxa"/>
            <w:vAlign w:val="center"/>
          </w:tcPr>
          <w:p w14:paraId="285ADF57" w14:textId="77777777" w:rsidR="00F60BA1" w:rsidRPr="004F4D28" w:rsidRDefault="00F60BA1" w:rsidP="00F60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</w:rPr>
            </w:pPr>
            <w:r w:rsidRPr="004F4D28">
              <w:rPr>
                <w:rFonts w:ascii="Cambria Math" w:hAnsi="Cambria Math"/>
              </w:rPr>
              <w:t>MM</w:t>
            </w:r>
          </w:p>
        </w:tc>
        <w:tc>
          <w:tcPr>
            <w:tcW w:w="797" w:type="dxa"/>
            <w:vAlign w:val="center"/>
          </w:tcPr>
          <w:p w14:paraId="4136C913" w14:textId="77777777" w:rsidR="00F60BA1" w:rsidRPr="004F4D28" w:rsidRDefault="00F60BA1" w:rsidP="00F60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</w:rPr>
            </w:pPr>
            <w:r w:rsidRPr="004F4D28">
              <w:rPr>
                <w:rFonts w:ascii="Cambria Math" w:hAnsi="Cambria Math"/>
              </w:rPr>
              <w:t>II</w:t>
            </w:r>
          </w:p>
        </w:tc>
        <w:tc>
          <w:tcPr>
            <w:tcW w:w="1977" w:type="dxa"/>
            <w:vAlign w:val="center"/>
          </w:tcPr>
          <w:p w14:paraId="6DCCA7C7" w14:textId="77777777" w:rsidR="00F60BA1" w:rsidRPr="004F4D28" w:rsidRDefault="00F60BA1" w:rsidP="00F60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</w:rPr>
            </w:pPr>
            <w:r w:rsidRPr="004F4D28">
              <w:rPr>
                <w:rFonts w:ascii="Cambria Math" w:hAnsi="Cambria Math"/>
              </w:rPr>
              <w:t>Active, not recruiting</w:t>
            </w:r>
          </w:p>
        </w:tc>
      </w:tr>
      <w:tr w:rsidR="00F60BA1" w14:paraId="29CA4447" w14:textId="77777777" w:rsidTr="00F60BA1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</w:tcPr>
          <w:p w14:paraId="3B63FC6B" w14:textId="77777777" w:rsidR="00F60BA1" w:rsidRPr="004F4D28" w:rsidRDefault="00F60BA1" w:rsidP="00F60BA1">
            <w:pPr>
              <w:contextualSpacing/>
              <w:jc w:val="center"/>
              <w:rPr>
                <w:rFonts w:ascii="Cambria Math" w:eastAsia="Cambria Math" w:hAnsi="Cambria Math" w:cs="Cambria Math"/>
              </w:rPr>
            </w:pPr>
            <w:r w:rsidRPr="004F4D28">
              <w:rPr>
                <w:rFonts w:ascii="Cambria Math" w:hAnsi="Cambria Math"/>
              </w:rPr>
              <w:t>NCT02528682</w:t>
            </w:r>
          </w:p>
        </w:tc>
        <w:tc>
          <w:tcPr>
            <w:tcW w:w="6237" w:type="dxa"/>
            <w:vAlign w:val="center"/>
          </w:tcPr>
          <w:p w14:paraId="05D766FF" w14:textId="77777777" w:rsidR="00F60BA1" w:rsidRPr="004F4D28" w:rsidRDefault="00F60BA1" w:rsidP="00F60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 xml:space="preserve">MiHA-loaded PD-L-silenced DC Vaccination after </w:t>
            </w:r>
            <w:proofErr w:type="spellStart"/>
            <w:r w:rsidRPr="004F4D28">
              <w:rPr>
                <w:rFonts w:ascii="Cambria Math" w:hAnsi="Cambria Math"/>
              </w:rPr>
              <w:t>allo</w:t>
            </w:r>
            <w:proofErr w:type="spellEnd"/>
            <w:r w:rsidRPr="004F4D28">
              <w:rPr>
                <w:rFonts w:ascii="Cambria Math" w:hAnsi="Cambria Math"/>
              </w:rPr>
              <w:t>-SCT</w:t>
            </w:r>
          </w:p>
        </w:tc>
        <w:tc>
          <w:tcPr>
            <w:tcW w:w="2910" w:type="dxa"/>
            <w:vAlign w:val="center"/>
          </w:tcPr>
          <w:p w14:paraId="3396FB1C" w14:textId="77777777" w:rsidR="00F60BA1" w:rsidRPr="004F4D28" w:rsidRDefault="00F60BA1" w:rsidP="00F60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</w:rPr>
            </w:pPr>
            <w:r w:rsidRPr="004F4D28">
              <w:rPr>
                <w:rFonts w:ascii="Cambria Math" w:hAnsi="Cambria Math"/>
              </w:rPr>
              <w:t>Hematological Malignancies</w:t>
            </w:r>
          </w:p>
        </w:tc>
        <w:tc>
          <w:tcPr>
            <w:tcW w:w="797" w:type="dxa"/>
            <w:vAlign w:val="center"/>
          </w:tcPr>
          <w:p w14:paraId="422C3D09" w14:textId="77777777" w:rsidR="00F60BA1" w:rsidRPr="004F4D28" w:rsidRDefault="00F60BA1" w:rsidP="00F60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I/II</w:t>
            </w:r>
          </w:p>
        </w:tc>
        <w:tc>
          <w:tcPr>
            <w:tcW w:w="1977" w:type="dxa"/>
            <w:vAlign w:val="center"/>
          </w:tcPr>
          <w:p w14:paraId="362E5045" w14:textId="77777777" w:rsidR="00F60BA1" w:rsidRPr="004F4D28" w:rsidRDefault="00F60BA1" w:rsidP="00F60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Completed</w:t>
            </w:r>
          </w:p>
        </w:tc>
      </w:tr>
      <w:tr w:rsidR="00F60BA1" w14:paraId="507DA5DA" w14:textId="77777777" w:rsidTr="00F6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</w:tcPr>
          <w:p w14:paraId="4FAA3022" w14:textId="77777777" w:rsidR="00F60BA1" w:rsidRPr="004F4D28" w:rsidRDefault="00F60BA1" w:rsidP="00F60BA1">
            <w:pPr>
              <w:jc w:val="center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NCT01096602</w:t>
            </w:r>
          </w:p>
        </w:tc>
        <w:tc>
          <w:tcPr>
            <w:tcW w:w="6237" w:type="dxa"/>
            <w:vAlign w:val="center"/>
          </w:tcPr>
          <w:p w14:paraId="4F05681C" w14:textId="77777777" w:rsidR="00F60BA1" w:rsidRPr="004F4D28" w:rsidRDefault="00F60BA1" w:rsidP="00F60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/>
                <w:i/>
                <w:highlight w:val="yellow"/>
              </w:rPr>
            </w:pPr>
            <w:r w:rsidRPr="004F4D28">
              <w:rPr>
                <w:rFonts w:ascii="Cambria Math" w:hAnsi="Cambria Math"/>
              </w:rPr>
              <w:t>Blockade of PD-1 plus DC/AML Vaccine  after  Chemotherapy</w:t>
            </w:r>
          </w:p>
        </w:tc>
        <w:tc>
          <w:tcPr>
            <w:tcW w:w="2910" w:type="dxa"/>
            <w:vAlign w:val="center"/>
          </w:tcPr>
          <w:p w14:paraId="1D77D942" w14:textId="77777777" w:rsidR="00F60BA1" w:rsidRPr="004F4D28" w:rsidRDefault="00F60BA1" w:rsidP="00F60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AML</w:t>
            </w:r>
          </w:p>
        </w:tc>
        <w:tc>
          <w:tcPr>
            <w:tcW w:w="797" w:type="dxa"/>
            <w:vAlign w:val="center"/>
          </w:tcPr>
          <w:p w14:paraId="19D67FB6" w14:textId="77777777" w:rsidR="00F60BA1" w:rsidRPr="004F4D28" w:rsidRDefault="00F60BA1" w:rsidP="00F60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II</w:t>
            </w:r>
          </w:p>
        </w:tc>
        <w:tc>
          <w:tcPr>
            <w:tcW w:w="1977" w:type="dxa"/>
            <w:vAlign w:val="center"/>
          </w:tcPr>
          <w:p w14:paraId="54EE2E93" w14:textId="77777777" w:rsidR="00F60BA1" w:rsidRPr="004F4D28" w:rsidRDefault="00F60BA1" w:rsidP="00F60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Active, not recruiting</w:t>
            </w:r>
          </w:p>
        </w:tc>
      </w:tr>
      <w:tr w:rsidR="00F60BA1" w14:paraId="4EFD8B6B" w14:textId="77777777" w:rsidTr="00F60BA1">
        <w:trPr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</w:tcPr>
          <w:p w14:paraId="7F507DF9" w14:textId="77777777" w:rsidR="00F60BA1" w:rsidRPr="004F4D28" w:rsidRDefault="00F60BA1" w:rsidP="00F60BA1">
            <w:pPr>
              <w:contextualSpacing/>
              <w:jc w:val="center"/>
              <w:rPr>
                <w:rFonts w:ascii="Cambria Math" w:hAnsi="Cambria Math"/>
              </w:rPr>
            </w:pPr>
            <w:r w:rsidRPr="004F4D28">
              <w:rPr>
                <w:rFonts w:ascii="Cambria Math" w:hAnsi="Cambria Math"/>
              </w:rPr>
              <w:t>NCT03035331</w:t>
            </w:r>
          </w:p>
        </w:tc>
        <w:tc>
          <w:tcPr>
            <w:tcW w:w="6237" w:type="dxa"/>
            <w:vAlign w:val="center"/>
          </w:tcPr>
          <w:p w14:paraId="4DFDBB3B" w14:textId="77777777" w:rsidR="00F60BA1" w:rsidRPr="004F4D28" w:rsidRDefault="00F60BA1" w:rsidP="00F60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Intratumorally DC vaccine After Cryoablation and Pembrolizumab</w:t>
            </w:r>
          </w:p>
        </w:tc>
        <w:tc>
          <w:tcPr>
            <w:tcW w:w="2910" w:type="dxa"/>
            <w:vAlign w:val="center"/>
          </w:tcPr>
          <w:p w14:paraId="1A04B75A" w14:textId="77777777" w:rsidR="00F60BA1" w:rsidRPr="004F4D28" w:rsidRDefault="00F60BA1" w:rsidP="00F60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LNH</w:t>
            </w:r>
          </w:p>
        </w:tc>
        <w:tc>
          <w:tcPr>
            <w:tcW w:w="797" w:type="dxa"/>
            <w:vAlign w:val="center"/>
          </w:tcPr>
          <w:p w14:paraId="41FAC745" w14:textId="77777777" w:rsidR="00F60BA1" w:rsidRPr="004F4D28" w:rsidRDefault="00F60BA1" w:rsidP="00F60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I/II</w:t>
            </w:r>
          </w:p>
        </w:tc>
        <w:tc>
          <w:tcPr>
            <w:tcW w:w="1977" w:type="dxa"/>
            <w:vAlign w:val="center"/>
          </w:tcPr>
          <w:p w14:paraId="4CBB7829" w14:textId="77777777" w:rsidR="00F60BA1" w:rsidRPr="004F4D28" w:rsidRDefault="00F60BA1" w:rsidP="00F60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Active, not recruiting</w:t>
            </w:r>
          </w:p>
        </w:tc>
      </w:tr>
      <w:tr w:rsidR="00F60BA1" w14:paraId="7A16C9AF" w14:textId="77777777" w:rsidTr="00F6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</w:tcPr>
          <w:p w14:paraId="6FDA6F7F" w14:textId="77777777" w:rsidR="00F60BA1" w:rsidRPr="004F4D28" w:rsidRDefault="00F60BA1" w:rsidP="00F60BA1">
            <w:pPr>
              <w:contextualSpacing/>
              <w:jc w:val="center"/>
              <w:rPr>
                <w:rFonts w:ascii="Cambria Math" w:hAnsi="Cambria Math"/>
              </w:rPr>
            </w:pPr>
            <w:r w:rsidRPr="004F4D28">
              <w:rPr>
                <w:rFonts w:ascii="Cambria Math" w:hAnsi="Cambria Math"/>
              </w:rPr>
              <w:t>NCT03325101</w:t>
            </w:r>
          </w:p>
        </w:tc>
        <w:tc>
          <w:tcPr>
            <w:tcW w:w="6237" w:type="dxa"/>
            <w:vAlign w:val="center"/>
          </w:tcPr>
          <w:p w14:paraId="29F43CFF" w14:textId="77777777" w:rsidR="00F60BA1" w:rsidRPr="004F4D28" w:rsidRDefault="00F60BA1" w:rsidP="00F60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Intratumorally Autologous DC vaccine after Cryoablation plus Pembrolizumab</w:t>
            </w:r>
          </w:p>
        </w:tc>
        <w:tc>
          <w:tcPr>
            <w:tcW w:w="2910" w:type="dxa"/>
            <w:vAlign w:val="center"/>
          </w:tcPr>
          <w:p w14:paraId="19D4BECF" w14:textId="77777777" w:rsidR="00F60BA1" w:rsidRPr="004F4D28" w:rsidRDefault="00F60BA1" w:rsidP="00F60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Melanoma</w:t>
            </w:r>
          </w:p>
        </w:tc>
        <w:tc>
          <w:tcPr>
            <w:tcW w:w="797" w:type="dxa"/>
            <w:vAlign w:val="center"/>
          </w:tcPr>
          <w:p w14:paraId="11A8B935" w14:textId="77777777" w:rsidR="00F60BA1" w:rsidRPr="004F4D28" w:rsidRDefault="00F60BA1" w:rsidP="00F60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I/II</w:t>
            </w:r>
          </w:p>
        </w:tc>
        <w:tc>
          <w:tcPr>
            <w:tcW w:w="1977" w:type="dxa"/>
            <w:vAlign w:val="center"/>
          </w:tcPr>
          <w:p w14:paraId="10D5EDF7" w14:textId="77777777" w:rsidR="00F60BA1" w:rsidRPr="004F4D28" w:rsidRDefault="00F60BA1" w:rsidP="00F60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Active, not recruiting</w:t>
            </w:r>
          </w:p>
        </w:tc>
      </w:tr>
      <w:tr w:rsidR="00F60BA1" w14:paraId="17E1CB23" w14:textId="77777777" w:rsidTr="00F60BA1">
        <w:trPr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</w:tcPr>
          <w:p w14:paraId="57443E2D" w14:textId="77777777" w:rsidR="00F60BA1" w:rsidRPr="004F4D28" w:rsidRDefault="00F60BA1" w:rsidP="00F60BA1">
            <w:pPr>
              <w:jc w:val="center"/>
              <w:rPr>
                <w:rFonts w:ascii="Cambria Math" w:hAnsi="Cambria Math"/>
              </w:rPr>
            </w:pPr>
            <w:r w:rsidRPr="004F4D28">
              <w:rPr>
                <w:rFonts w:ascii="Cambria Math" w:hAnsi="Cambria Math"/>
              </w:rPr>
              <w:t>NCT02677155</w:t>
            </w:r>
          </w:p>
        </w:tc>
        <w:tc>
          <w:tcPr>
            <w:tcW w:w="6237" w:type="dxa"/>
            <w:vAlign w:val="center"/>
          </w:tcPr>
          <w:p w14:paraId="70122B12" w14:textId="77777777" w:rsidR="00F60BA1" w:rsidRPr="004F4D28" w:rsidRDefault="00F60BA1" w:rsidP="00F60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/>
                <w:bCs/>
                <w:highlight w:val="yellow"/>
              </w:rPr>
            </w:pPr>
            <w:r w:rsidRPr="004F4D28">
              <w:rPr>
                <w:rFonts w:ascii="Cambria Math" w:hAnsi="Cambria Math"/>
              </w:rPr>
              <w:t>Sequential Intranodal Immunotherapy (SIIT) plus Pembrolizumab</w:t>
            </w:r>
          </w:p>
        </w:tc>
        <w:tc>
          <w:tcPr>
            <w:tcW w:w="2910" w:type="dxa"/>
            <w:vAlign w:val="center"/>
          </w:tcPr>
          <w:p w14:paraId="040B52DF" w14:textId="77777777" w:rsidR="00F60BA1" w:rsidRPr="004F4D28" w:rsidRDefault="00F60BA1" w:rsidP="00F60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FLC</w:t>
            </w:r>
          </w:p>
        </w:tc>
        <w:tc>
          <w:tcPr>
            <w:tcW w:w="797" w:type="dxa"/>
            <w:vAlign w:val="center"/>
          </w:tcPr>
          <w:p w14:paraId="4176D5E8" w14:textId="77777777" w:rsidR="00F60BA1" w:rsidRPr="004F4D28" w:rsidRDefault="00F60BA1" w:rsidP="00F60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II</w:t>
            </w:r>
          </w:p>
        </w:tc>
        <w:tc>
          <w:tcPr>
            <w:tcW w:w="1977" w:type="dxa"/>
            <w:vAlign w:val="center"/>
          </w:tcPr>
          <w:p w14:paraId="06F8F529" w14:textId="77777777" w:rsidR="00F60BA1" w:rsidRPr="004F4D28" w:rsidRDefault="00F60BA1" w:rsidP="00F60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Completed</w:t>
            </w:r>
          </w:p>
        </w:tc>
      </w:tr>
      <w:tr w:rsidR="00F60BA1" w14:paraId="4A72D52D" w14:textId="77777777" w:rsidTr="00F6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</w:tcPr>
          <w:p w14:paraId="4C3ABBC1" w14:textId="77777777" w:rsidR="00F60BA1" w:rsidRPr="004F4D28" w:rsidRDefault="00F60BA1" w:rsidP="00F60BA1">
            <w:pPr>
              <w:contextualSpacing/>
              <w:jc w:val="center"/>
              <w:rPr>
                <w:rFonts w:ascii="Cambria Math" w:eastAsia="Cambria Math" w:hAnsi="Cambria Math" w:cs="Cambria Math"/>
              </w:rPr>
            </w:pPr>
            <w:r w:rsidRPr="004F4D28">
              <w:rPr>
                <w:rFonts w:ascii="Cambria Math" w:hAnsi="Cambria Math"/>
              </w:rPr>
              <w:t>NCT05631886</w:t>
            </w:r>
          </w:p>
        </w:tc>
        <w:tc>
          <w:tcPr>
            <w:tcW w:w="6237" w:type="dxa"/>
            <w:vAlign w:val="center"/>
          </w:tcPr>
          <w:p w14:paraId="0441C43E" w14:textId="77777777" w:rsidR="00F60BA1" w:rsidRPr="004F4D28" w:rsidRDefault="00F60BA1" w:rsidP="00F60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Intratumorally Autologous DC vaccine  plus Cryoablation</w:t>
            </w:r>
            <w:r>
              <w:rPr>
                <w:rFonts w:ascii="Cambria Math" w:hAnsi="Cambria Math"/>
              </w:rPr>
              <w:t xml:space="preserve"> </w:t>
            </w:r>
            <w:r w:rsidRPr="004F4D28">
              <w:rPr>
                <w:rFonts w:ascii="Cambria Math" w:hAnsi="Cambria Math"/>
              </w:rPr>
              <w:t>and Pembrolizumab</w:t>
            </w:r>
          </w:p>
        </w:tc>
        <w:tc>
          <w:tcPr>
            <w:tcW w:w="2910" w:type="dxa"/>
            <w:vAlign w:val="center"/>
          </w:tcPr>
          <w:p w14:paraId="6A122BEE" w14:textId="77777777" w:rsidR="00F60BA1" w:rsidRPr="004F4D28" w:rsidRDefault="00F60BA1" w:rsidP="00F60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LNH</w:t>
            </w:r>
          </w:p>
        </w:tc>
        <w:tc>
          <w:tcPr>
            <w:tcW w:w="797" w:type="dxa"/>
            <w:vAlign w:val="center"/>
          </w:tcPr>
          <w:p w14:paraId="562C2625" w14:textId="77777777" w:rsidR="00F60BA1" w:rsidRPr="004F4D28" w:rsidRDefault="00F60BA1" w:rsidP="00F60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I/II</w:t>
            </w:r>
          </w:p>
        </w:tc>
        <w:tc>
          <w:tcPr>
            <w:tcW w:w="1977" w:type="dxa"/>
            <w:vAlign w:val="center"/>
          </w:tcPr>
          <w:p w14:paraId="76C04DBA" w14:textId="77777777" w:rsidR="00F60BA1" w:rsidRPr="004F4D28" w:rsidRDefault="00F60BA1" w:rsidP="00F60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highlight w:val="yellow"/>
              </w:rPr>
            </w:pPr>
            <w:r w:rsidRPr="004F4D28">
              <w:rPr>
                <w:rFonts w:ascii="Cambria Math" w:hAnsi="Cambria Math"/>
              </w:rPr>
              <w:t>Active, not recruiting</w:t>
            </w:r>
          </w:p>
        </w:tc>
      </w:tr>
    </w:tbl>
    <w:p w14:paraId="2CCDC057" w14:textId="77777777" w:rsidR="00817252" w:rsidRDefault="00817252" w:rsidP="00817252">
      <w:pPr>
        <w:contextualSpacing/>
        <w:jc w:val="both"/>
        <w:rPr>
          <w:rFonts w:ascii="Candara" w:hAnsi="Candara"/>
          <w:b/>
          <w:sz w:val="20"/>
          <w:szCs w:val="20"/>
        </w:rPr>
      </w:pPr>
    </w:p>
    <w:p w14:paraId="2D432232" w14:textId="77777777" w:rsidR="004F4D28" w:rsidRDefault="004F4D28" w:rsidP="00817252">
      <w:pPr>
        <w:contextualSpacing/>
        <w:jc w:val="both"/>
        <w:rPr>
          <w:rFonts w:ascii="Candara" w:hAnsi="Candara"/>
          <w:b/>
          <w:sz w:val="20"/>
          <w:szCs w:val="20"/>
        </w:rPr>
      </w:pPr>
    </w:p>
    <w:p w14:paraId="05AB6652" w14:textId="77777777" w:rsidR="004F4D28" w:rsidRDefault="004F4D28" w:rsidP="00817252">
      <w:pPr>
        <w:contextualSpacing/>
        <w:jc w:val="both"/>
        <w:rPr>
          <w:rFonts w:ascii="Candara" w:hAnsi="Candara"/>
          <w:b/>
          <w:sz w:val="20"/>
          <w:szCs w:val="20"/>
        </w:rPr>
      </w:pPr>
    </w:p>
    <w:p w14:paraId="23C73876" w14:textId="40F15735" w:rsidR="00817252" w:rsidRPr="009C4D34" w:rsidRDefault="00817252" w:rsidP="00817252">
      <w:pPr>
        <w:contextualSpacing/>
        <w:jc w:val="both"/>
        <w:rPr>
          <w:rFonts w:ascii="Candara" w:hAnsi="Candara"/>
          <w:b/>
          <w:sz w:val="20"/>
          <w:szCs w:val="20"/>
        </w:rPr>
      </w:pPr>
      <w:r w:rsidRPr="00D41F07">
        <w:rPr>
          <w:rFonts w:ascii="Candara" w:hAnsi="Candara"/>
          <w:b/>
          <w:sz w:val="20"/>
          <w:szCs w:val="20"/>
        </w:rPr>
        <w:t xml:space="preserve">AML:  </w:t>
      </w:r>
      <w:r w:rsidRPr="00D41F07">
        <w:rPr>
          <w:rFonts w:ascii="Candara" w:hAnsi="Candara"/>
          <w:sz w:val="20"/>
          <w:szCs w:val="20"/>
        </w:rPr>
        <w:t>Acute Myeloid Leukemia</w:t>
      </w:r>
      <w:r>
        <w:rPr>
          <w:rFonts w:ascii="Candara" w:hAnsi="Candara"/>
          <w:b/>
          <w:sz w:val="20"/>
          <w:szCs w:val="20"/>
        </w:rPr>
        <w:t xml:space="preserve">; </w:t>
      </w:r>
      <w:r w:rsidRPr="00D41F07">
        <w:rPr>
          <w:rFonts w:ascii="Candara" w:hAnsi="Candara"/>
          <w:b/>
          <w:sz w:val="20"/>
          <w:szCs w:val="20"/>
        </w:rPr>
        <w:t>M</w:t>
      </w:r>
      <w:r>
        <w:rPr>
          <w:rFonts w:ascii="Candara" w:hAnsi="Candara"/>
          <w:b/>
          <w:sz w:val="20"/>
          <w:szCs w:val="20"/>
        </w:rPr>
        <w:t>M:</w:t>
      </w:r>
      <w:r w:rsidRPr="00D41F07">
        <w:rPr>
          <w:rFonts w:ascii="Candara" w:hAnsi="Candara"/>
          <w:b/>
          <w:sz w:val="20"/>
          <w:szCs w:val="20"/>
        </w:rPr>
        <w:t xml:space="preserve"> </w:t>
      </w:r>
      <w:r w:rsidRPr="00817252">
        <w:rPr>
          <w:rFonts w:ascii="Candara" w:hAnsi="Candara"/>
          <w:sz w:val="20"/>
          <w:szCs w:val="20"/>
        </w:rPr>
        <w:t>Multiple</w:t>
      </w:r>
      <w:r>
        <w:rPr>
          <w:rFonts w:ascii="Candara" w:hAnsi="Candara"/>
          <w:b/>
          <w:sz w:val="20"/>
          <w:szCs w:val="20"/>
        </w:rPr>
        <w:t xml:space="preserve"> </w:t>
      </w:r>
      <w:r w:rsidRPr="00D41F07">
        <w:rPr>
          <w:rFonts w:ascii="Candara" w:hAnsi="Candara"/>
          <w:sz w:val="20"/>
          <w:szCs w:val="20"/>
        </w:rPr>
        <w:t>Myelo</w:t>
      </w:r>
      <w:r w:rsidR="009C4D34">
        <w:rPr>
          <w:rFonts w:ascii="Candara" w:hAnsi="Candara"/>
          <w:sz w:val="20"/>
          <w:szCs w:val="20"/>
        </w:rPr>
        <w:t>ma</w:t>
      </w:r>
      <w:r>
        <w:rPr>
          <w:rFonts w:ascii="Candara" w:hAnsi="Candara"/>
          <w:sz w:val="20"/>
          <w:szCs w:val="20"/>
        </w:rPr>
        <w:t>.</w:t>
      </w:r>
    </w:p>
    <w:p w14:paraId="316550F7" w14:textId="77777777" w:rsidR="00817252" w:rsidRPr="004E54C0" w:rsidRDefault="00817252" w:rsidP="00D41F07">
      <w:pPr>
        <w:contextualSpacing/>
        <w:jc w:val="both"/>
        <w:rPr>
          <w:rFonts w:ascii="Candara" w:hAnsi="Candara"/>
          <w:b/>
        </w:rPr>
      </w:pPr>
    </w:p>
    <w:sectPr w:rsidR="00817252" w:rsidRPr="004E54C0" w:rsidSect="004F4D2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09B"/>
    <w:rsid w:val="00001450"/>
    <w:rsid w:val="000719AD"/>
    <w:rsid w:val="000A1862"/>
    <w:rsid w:val="001113E7"/>
    <w:rsid w:val="0019009B"/>
    <w:rsid w:val="002F3B3C"/>
    <w:rsid w:val="00303FE6"/>
    <w:rsid w:val="003770DA"/>
    <w:rsid w:val="003E50FD"/>
    <w:rsid w:val="00402DF9"/>
    <w:rsid w:val="00404AE0"/>
    <w:rsid w:val="00406AD9"/>
    <w:rsid w:val="00486BAA"/>
    <w:rsid w:val="004A4CE1"/>
    <w:rsid w:val="004C0191"/>
    <w:rsid w:val="004E54C0"/>
    <w:rsid w:val="004F4D28"/>
    <w:rsid w:val="00503A36"/>
    <w:rsid w:val="0064446A"/>
    <w:rsid w:val="006550F1"/>
    <w:rsid w:val="00664DA2"/>
    <w:rsid w:val="006C4A18"/>
    <w:rsid w:val="006E2AAB"/>
    <w:rsid w:val="00701520"/>
    <w:rsid w:val="007543BF"/>
    <w:rsid w:val="00771F2E"/>
    <w:rsid w:val="00774654"/>
    <w:rsid w:val="00803433"/>
    <w:rsid w:val="00814E6A"/>
    <w:rsid w:val="00817252"/>
    <w:rsid w:val="00822D4B"/>
    <w:rsid w:val="0089354B"/>
    <w:rsid w:val="008E6474"/>
    <w:rsid w:val="009A4EDA"/>
    <w:rsid w:val="009C4D34"/>
    <w:rsid w:val="00AC2E70"/>
    <w:rsid w:val="00AE5E16"/>
    <w:rsid w:val="00B875AC"/>
    <w:rsid w:val="00C60243"/>
    <w:rsid w:val="00CB6C2C"/>
    <w:rsid w:val="00D05D48"/>
    <w:rsid w:val="00D16169"/>
    <w:rsid w:val="00D279A9"/>
    <w:rsid w:val="00D41F07"/>
    <w:rsid w:val="00E53CA2"/>
    <w:rsid w:val="00EC022E"/>
    <w:rsid w:val="00EE6EE8"/>
    <w:rsid w:val="00F109EC"/>
    <w:rsid w:val="00F37499"/>
    <w:rsid w:val="00F60BA1"/>
    <w:rsid w:val="00F653AE"/>
    <w:rsid w:val="00F74D11"/>
    <w:rsid w:val="00F87521"/>
    <w:rsid w:val="00F9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B8167"/>
  <w15:docId w15:val="{A663B7B5-8160-44E6-BCA6-4D05FAFC7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Theme="minorEastAsia"/>
    </w:rPr>
  </w:style>
  <w:style w:type="paragraph" w:styleId="Titolo1">
    <w:name w:val="heading 1"/>
    <w:basedOn w:val="Normale"/>
    <w:link w:val="Titolo1Carattere"/>
    <w:uiPriority w:val="9"/>
    <w:qFormat/>
    <w:rsid w:val="00AE5E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90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64446A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46A"/>
    <w:rPr>
      <w:rFonts w:ascii="Tahoma" w:hAnsi="Tahoma" w:cs="Tahoma"/>
      <w:sz w:val="16"/>
      <w:szCs w:val="16"/>
    </w:rPr>
  </w:style>
  <w:style w:type="table" w:customStyle="1" w:styleId="Tabellaelenco3-colore51">
    <w:name w:val="Tabella elenco 3 - colore 51"/>
    <w:basedOn w:val="Tabellanormale"/>
    <w:uiPriority w:val="48"/>
    <w:rsid w:val="009A4ED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AE5E1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00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140</Words>
  <Characters>889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Domenico Galati</cp:lastModifiedBy>
  <cp:revision>19</cp:revision>
  <dcterms:created xsi:type="dcterms:W3CDTF">2024-06-05T13:35:00Z</dcterms:created>
  <dcterms:modified xsi:type="dcterms:W3CDTF">2024-06-11T11:28:00Z</dcterms:modified>
</cp:coreProperties>
</file>