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D8FD" w14:textId="77777777" w:rsidR="009876F4" w:rsidRPr="009858B6" w:rsidRDefault="009858B6">
      <w:pPr>
        <w:pStyle w:val="MDPI12title"/>
        <w:rPr>
          <w:sz w:val="28"/>
          <w:szCs w:val="28"/>
        </w:rPr>
      </w:pPr>
      <w:r w:rsidRPr="009858B6">
        <w:rPr>
          <w:rFonts w:ascii="Times New Roman" w:hAnsi="Times New Roman"/>
          <w:sz w:val="28"/>
          <w:szCs w:val="28"/>
        </w:rPr>
        <w:t xml:space="preserve">Central actions of leptin induce an atrophic pattern and improves heart function in </w:t>
      </w:r>
      <w:r w:rsidRPr="009858B6">
        <w:rPr>
          <w:rFonts w:ascii="Times New Roman" w:hAnsi="Times New Roman"/>
          <w:color w:val="auto"/>
          <w:sz w:val="28"/>
          <w:szCs w:val="28"/>
        </w:rPr>
        <w:t xml:space="preserve">lean </w:t>
      </w:r>
      <w:proofErr w:type="spellStart"/>
      <w:r w:rsidRPr="009858B6">
        <w:rPr>
          <w:rFonts w:ascii="Times New Roman" w:hAnsi="Times New Roman"/>
          <w:color w:val="auto"/>
          <w:sz w:val="28"/>
          <w:szCs w:val="28"/>
        </w:rPr>
        <w:t>normoleptinemic</w:t>
      </w:r>
      <w:proofErr w:type="spellEnd"/>
      <w:r w:rsidRPr="009858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858B6">
        <w:rPr>
          <w:rFonts w:ascii="Times New Roman" w:hAnsi="Times New Roman"/>
          <w:sz w:val="28"/>
          <w:szCs w:val="28"/>
        </w:rPr>
        <w:t>rats via PPARβ/δ activation</w:t>
      </w:r>
    </w:p>
    <w:p w14:paraId="7A0AD8FE" w14:textId="083FE05D" w:rsidR="009876F4" w:rsidRPr="009858B6" w:rsidRDefault="009858B6">
      <w:pPr>
        <w:rPr>
          <w:rFonts w:ascii="Times New Roman" w:hAnsi="Times New Roman"/>
          <w:bCs/>
          <w:sz w:val="24"/>
          <w:szCs w:val="24"/>
          <w:lang w:eastAsia="de-DE" w:bidi="en-US"/>
        </w:rPr>
      </w:pPr>
      <w:r w:rsidRPr="009858B6">
        <w:rPr>
          <w:rFonts w:ascii="Times New Roman" w:hAnsi="Times New Roman"/>
          <w:bCs/>
          <w:sz w:val="24"/>
          <w:szCs w:val="24"/>
          <w:lang w:eastAsia="de-DE" w:bidi="en-US"/>
        </w:rPr>
        <w:t>Blanca Rubio, Cristina Pintado, Lorena Mazuecos, Marina Benito, Antonio Andrés and Nilda Gallardo</w:t>
      </w:r>
    </w:p>
    <w:p w14:paraId="7A0AD8FF" w14:textId="77777777" w:rsidR="009876F4" w:rsidRPr="009858B6" w:rsidRDefault="009858B6">
      <w:pPr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sz w:val="32"/>
          <w:szCs w:val="32"/>
          <w:u w:val="single"/>
          <w:lang w:val="en-US"/>
        </w:rPr>
        <w:t>Supplementary Data</w:t>
      </w:r>
    </w:p>
    <w:p w14:paraId="7A0AD900" w14:textId="77777777" w:rsidR="009876F4" w:rsidRPr="009858B6" w:rsidRDefault="009858B6">
      <w:pPr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Table S1</w:t>
      </w:r>
      <w:r>
        <w:rPr>
          <w:rFonts w:ascii="Times New Roman" w:hAnsi="Times New Roman"/>
          <w:sz w:val="24"/>
          <w:szCs w:val="24"/>
          <w:lang w:val="en-US"/>
        </w:rPr>
        <w:t xml:space="preserve">. Primer sequences of genes used for quantification of mRNAs by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-PCR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391"/>
        <w:gridCol w:w="2832"/>
      </w:tblGrid>
      <w:tr w:rsidR="009876F4" w14:paraId="7A0AD90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1" w14:textId="77777777" w:rsidR="009876F4" w:rsidRDefault="009858B6">
            <w:pPr>
              <w:pStyle w:val="Default"/>
              <w:spacing w:line="480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GENE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2" w14:textId="77777777" w:rsidR="009876F4" w:rsidRDefault="009858B6">
            <w:pPr>
              <w:pStyle w:val="Default"/>
              <w:spacing w:line="480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3" w14:textId="77777777" w:rsidR="009876F4" w:rsidRDefault="009858B6">
            <w:pPr>
              <w:pStyle w:val="Default"/>
              <w:spacing w:line="480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REFERENCE</w:t>
            </w:r>
          </w:p>
        </w:tc>
      </w:tr>
      <w:tr w:rsidR="009876F4" w14:paraId="7A0AD90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5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Ob-Rb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6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Long Form of Leptin Receptor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7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Rn01433205_m1</w:t>
            </w:r>
          </w:p>
        </w:tc>
      </w:tr>
      <w:tr w:rsidR="009876F4" w14:paraId="7A0AD90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9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Crh</w:t>
            </w:r>
            <w:proofErr w:type="spellEnd"/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A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Corticotropin Releasing Hormone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B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Rn01462137_m1</w:t>
            </w:r>
          </w:p>
        </w:tc>
      </w:tr>
      <w:tr w:rsidR="009876F4" w14:paraId="7A0AD9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E" w14:textId="77777777" w:rsidR="009876F4" w:rsidRDefault="009858B6">
            <w:pPr>
              <w:pStyle w:val="Default"/>
              <w:spacing w:line="480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0F" w14:textId="77777777" w:rsidR="009876F4" w:rsidRDefault="009858B6">
            <w:pPr>
              <w:pStyle w:val="Default"/>
              <w:spacing w:line="480" w:lineRule="auto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SEQUENCE</w:t>
            </w:r>
          </w:p>
        </w:tc>
      </w:tr>
      <w:tr w:rsidR="009876F4" w14:paraId="7A0AD91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11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Trh_F</w:t>
            </w:r>
            <w:proofErr w:type="spellEnd"/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12" w14:textId="77777777" w:rsidR="009876F4" w:rsidRDefault="009858B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AGCTCAGCATCTTGGAAAGC </w:t>
            </w:r>
          </w:p>
        </w:tc>
      </w:tr>
      <w:tr w:rsidR="009876F4" w14:paraId="7A0AD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14" w14:textId="77777777" w:rsidR="009876F4" w:rsidRDefault="009858B6">
            <w:pPr>
              <w:pStyle w:val="Default"/>
              <w:spacing w:line="48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Trh_R</w:t>
            </w:r>
            <w:proofErr w:type="spellEnd"/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D915" w14:textId="77777777" w:rsidR="009876F4" w:rsidRDefault="009858B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CCAGCAGCAACCAAGGTC </w:t>
            </w:r>
          </w:p>
        </w:tc>
      </w:tr>
    </w:tbl>
    <w:p w14:paraId="7A0AD919" w14:textId="77777777" w:rsidR="009876F4" w:rsidRDefault="009858B6">
      <w:pPr>
        <w:spacing w:line="480" w:lineRule="auto"/>
        <w:jc w:val="both"/>
      </w:pPr>
      <w:r>
        <w:rPr>
          <w:noProof/>
        </w:rPr>
        <w:drawing>
          <wp:inline distT="0" distB="0" distL="0" distR="0" wp14:anchorId="7A0AD8FD" wp14:editId="7A0AD8FE">
            <wp:extent cx="5333996" cy="2910836"/>
            <wp:effectExtent l="0" t="0" r="0" b="0"/>
            <wp:docPr id="1764636249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9" r="94" b="32825"/>
                    <a:stretch>
                      <a:fillRect/>
                    </a:stretch>
                  </pic:blipFill>
                  <pic:spPr>
                    <a:xfrm>
                      <a:off x="0" y="0"/>
                      <a:ext cx="5333996" cy="2910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val="en-US" w:eastAsia="es-ES"/>
        </w:rPr>
        <w:t xml:space="preserve"> </w:t>
      </w:r>
    </w:p>
    <w:p w14:paraId="7A0AD91A" w14:textId="0050E9CB" w:rsidR="009876F4" w:rsidRPr="009858B6" w:rsidRDefault="009858B6" w:rsidP="009858B6">
      <w:pPr>
        <w:suppressAutoHyphens w:val="0"/>
        <w:autoSpaceDE w:val="0"/>
        <w:spacing w:after="0" w:line="360" w:lineRule="auto"/>
        <w:jc w:val="both"/>
        <w:textAlignment w:val="auto"/>
        <w:rPr>
          <w:lang w:val="en-US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val="en-US" w:eastAsia="es-ES"/>
        </w:rPr>
        <w:t>Figure S1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es-ES"/>
        </w:rPr>
        <w:t>: Representative Red Ponceau staining of the nitrocellulose membrane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 total protein normalization prior to immunodetection.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Molecular weight markers (arrows)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es-ES"/>
        </w:rPr>
        <w:t xml:space="preserve">. 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Equal amounts of proteins from </w:t>
      </w:r>
      <w:r>
        <w:rPr>
          <w:rFonts w:ascii="Times New Roman" w:hAnsi="Times New Roman"/>
          <w:iCs/>
          <w:sz w:val="24"/>
          <w:szCs w:val="24"/>
          <w:lang w:val="en-US"/>
        </w:rPr>
        <w:t>cardiac ventricles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total extracts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(50 µg) from 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es-ES"/>
        </w:rPr>
        <w:t>vehicle, leptin, and leptin plus GSK0660 treated rats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were separated under reducing conditions on a 10% SDS-PAGE gel and further stained with 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es-ES"/>
        </w:rPr>
        <w:t>Red Ponceau tinction before incubation with PPARβ/δ antibody (1:1000, ab23676) and β-actin antibody (1:1000, ab8226).</w:t>
      </w:r>
    </w:p>
    <w:p w14:paraId="7A0AD91C" w14:textId="0DC04E68" w:rsidR="009876F4" w:rsidRDefault="009858B6" w:rsidP="009858B6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val="en-US" w:eastAsia="es-ES"/>
        </w:rPr>
        <w:lastRenderedPageBreak/>
        <w:t>Table S2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es-ES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en-US"/>
        </w:rPr>
        <w:t>Quantitative densitometry analysis of PPAR</w:t>
      </w:r>
      <w:r>
        <w:rPr>
          <w:rFonts w:ascii="Times New Roman" w:hAnsi="Times New Roman"/>
          <w:iCs/>
          <w:sz w:val="24"/>
          <w:szCs w:val="24"/>
        </w:rPr>
        <w:t>β</w:t>
      </w:r>
      <w:r>
        <w:rPr>
          <w:rFonts w:ascii="Times New Roman" w:hAnsi="Times New Roman"/>
          <w:iCs/>
          <w:sz w:val="24"/>
          <w:szCs w:val="24"/>
          <w:lang w:val="en-US"/>
        </w:rPr>
        <w:t>/</w:t>
      </w:r>
      <w:r>
        <w:rPr>
          <w:rFonts w:ascii="Times New Roman" w:hAnsi="Times New Roman"/>
          <w:iCs/>
          <w:sz w:val="24"/>
          <w:szCs w:val="24"/>
        </w:rPr>
        <w:t>δ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protein bands from the Western-Blot. T</w:t>
      </w:r>
      <w:r>
        <w:rPr>
          <w:rFonts w:ascii="Times New Roman" w:hAnsi="Times New Roman"/>
          <w:sz w:val="24"/>
          <w:szCs w:val="24"/>
          <w:lang w:val="en-US"/>
        </w:rPr>
        <w:t>he images were subjected to a densitometric analysis with a G-Box Densitometer. Bands were quantified by scanning densitometry with the exposure in the linear range using Gene Tools software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Syngene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Cambridge, UK) and the protein levels were </w:t>
      </w:r>
      <w:r>
        <w:rPr>
          <w:rFonts w:ascii="Times New Roman" w:hAnsi="Times New Roman"/>
          <w:iCs/>
          <w:sz w:val="24"/>
          <w:szCs w:val="24"/>
          <w:lang w:val="en-US"/>
        </w:rPr>
        <w:t>expressed in arbitrary units.</w:t>
      </w:r>
    </w:p>
    <w:tbl>
      <w:tblPr>
        <w:tblW w:w="7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98"/>
        <w:gridCol w:w="2398"/>
      </w:tblGrid>
      <w:tr w:rsidR="009876F4" w14:paraId="7A0AD920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1D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bookmarkStart w:id="0" w:name="_Hlk169870682"/>
            <w:r w:rsidRPr="009858B6">
              <w:rPr>
                <w:rFonts w:ascii="Times New Roman" w:hAnsi="Times New Roman"/>
                <w:b/>
                <w:bCs/>
                <w:lang w:val="en-US"/>
              </w:rPr>
              <w:t>Treatment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1E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858B6">
              <w:rPr>
                <w:rFonts w:ascii="Times New Roman" w:hAnsi="Times New Roman"/>
                <w:b/>
                <w:bCs/>
                <w:lang w:val="en-US"/>
              </w:rPr>
              <w:t>PPARβ/δ raw values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1F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858B6">
              <w:rPr>
                <w:rFonts w:ascii="Times New Roman" w:hAnsi="Times New Roman"/>
                <w:b/>
                <w:bCs/>
                <w:lang w:val="en-US"/>
              </w:rPr>
              <w:t>β-actin Raw values</w:t>
            </w:r>
          </w:p>
        </w:tc>
      </w:tr>
      <w:tr w:rsidR="009876F4" w14:paraId="7A0AD924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1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2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1925320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3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64906</w:t>
            </w:r>
          </w:p>
        </w:tc>
      </w:tr>
      <w:tr w:rsidR="009876F4" w14:paraId="7A0AD928" w14:textId="77777777" w:rsidTr="009858B6">
        <w:trPr>
          <w:trHeight w:val="43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5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PF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6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851946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7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31050</w:t>
            </w:r>
          </w:p>
        </w:tc>
      </w:tr>
      <w:tr w:rsidR="009876F4" w14:paraId="7A0AD92C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9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LEP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A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2024607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B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35348</w:t>
            </w:r>
          </w:p>
        </w:tc>
      </w:tr>
      <w:tr w:rsidR="009876F4" w14:paraId="7A0AD930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D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LEP+GSK0660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E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1343505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2F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45556</w:t>
            </w:r>
          </w:p>
        </w:tc>
      </w:tr>
      <w:tr w:rsidR="009876F4" w14:paraId="7A0AD934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1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2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1487540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3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49111</w:t>
            </w:r>
          </w:p>
        </w:tc>
      </w:tr>
      <w:tr w:rsidR="009876F4" w14:paraId="7A0AD938" w14:textId="77777777" w:rsidTr="009858B6">
        <w:trPr>
          <w:trHeight w:val="43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5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PF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6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1081184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7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37342</w:t>
            </w:r>
          </w:p>
        </w:tc>
      </w:tr>
      <w:tr w:rsidR="009876F4" w14:paraId="7A0AD93C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9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LEP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A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1963422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B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34122</w:t>
            </w:r>
          </w:p>
        </w:tc>
      </w:tr>
      <w:tr w:rsidR="009876F4" w14:paraId="7A0AD940" w14:textId="77777777" w:rsidTr="009858B6">
        <w:trPr>
          <w:trHeight w:val="441"/>
          <w:jc w:val="center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D" w14:textId="77777777" w:rsidR="009876F4" w:rsidRDefault="009858B6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LEP+GSK0660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E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1220781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D93F" w14:textId="77777777" w:rsidR="009876F4" w:rsidRPr="009858B6" w:rsidRDefault="009858B6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9858B6">
              <w:rPr>
                <w:rFonts w:ascii="Times New Roman" w:hAnsi="Times New Roman"/>
                <w:color w:val="000000"/>
              </w:rPr>
              <w:t>39701</w:t>
            </w:r>
          </w:p>
        </w:tc>
      </w:tr>
      <w:bookmarkEnd w:id="0"/>
    </w:tbl>
    <w:p w14:paraId="7A0AD941" w14:textId="77777777" w:rsidR="009876F4" w:rsidRDefault="009876F4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0AD942" w14:textId="77777777" w:rsidR="009876F4" w:rsidRDefault="009876F4">
      <w:pPr>
        <w:spacing w:line="480" w:lineRule="auto"/>
        <w:jc w:val="both"/>
        <w:rPr>
          <w:lang w:val="en-US"/>
        </w:rPr>
      </w:pPr>
    </w:p>
    <w:p w14:paraId="7A0AD943" w14:textId="77777777" w:rsidR="009876F4" w:rsidRDefault="009876F4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876F4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AD903" w14:textId="77777777" w:rsidR="009858B6" w:rsidRDefault="009858B6">
      <w:pPr>
        <w:spacing w:after="0"/>
      </w:pPr>
      <w:r>
        <w:separator/>
      </w:r>
    </w:p>
  </w:endnote>
  <w:endnote w:type="continuationSeparator" w:id="0">
    <w:p w14:paraId="7A0AD905" w14:textId="77777777" w:rsidR="009858B6" w:rsidRDefault="00985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D909" w14:textId="77777777" w:rsidR="009858B6" w:rsidRDefault="00985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D8FF" w14:textId="77777777" w:rsidR="009858B6" w:rsidRDefault="009858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0AD901" w14:textId="77777777" w:rsidR="009858B6" w:rsidRDefault="009858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D907" w14:textId="77777777" w:rsidR="009858B6" w:rsidRDefault="009858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F4"/>
    <w:rsid w:val="00262F21"/>
    <w:rsid w:val="00666D70"/>
    <w:rsid w:val="009858B6"/>
    <w:rsid w:val="009876F4"/>
    <w:rsid w:val="00B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D8FD"/>
  <w15:docId w15:val="{9277B79B-9E57-4C7E-8B28-D5E88D5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es-ES"/>
    </w:rPr>
  </w:style>
  <w:style w:type="paragraph" w:styleId="Ttulo4">
    <w:name w:val="heading 4"/>
    <w:basedOn w:val="Normal"/>
    <w:uiPriority w:val="9"/>
    <w:semiHidden/>
    <w:unhideWhenUsed/>
    <w:qFormat/>
    <w:pPr>
      <w:suppressAutoHyphens w:val="0"/>
      <w:spacing w:before="100" w:after="100"/>
      <w:outlineLvl w:val="3"/>
    </w:pPr>
    <w:rPr>
      <w:rFonts w:ascii="Times New Roman" w:eastAsia="Times New Roman" w:hAnsi="Times New Roman"/>
      <w:b/>
      <w:bCs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pPr>
      <w:pBdr>
        <w:bottom w:val="single" w:sz="6" w:space="1" w:color="000000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authors-list-item">
    <w:name w:val="authors-list-item"/>
    <w:basedOn w:val="Fuentedeprrafopredeter"/>
  </w:style>
  <w:style w:type="character" w:customStyle="1" w:styleId="author-sup-separator">
    <w:name w:val="author-sup-separator"/>
    <w:basedOn w:val="Fuentedeprrafopredeter"/>
  </w:style>
  <w:style w:type="character" w:customStyle="1" w:styleId="comma">
    <w:name w:val="comma"/>
    <w:basedOn w:val="Fuentedeprrafopredeter"/>
  </w:style>
  <w:style w:type="paragraph" w:styleId="Prrafodelista">
    <w:name w:val="List Paragraph"/>
    <w:basedOn w:val="Normal"/>
    <w:pPr>
      <w:ind w:left="720"/>
    </w:p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</w:style>
  <w:style w:type="paragraph" w:styleId="Sangradetextonormal">
    <w:name w:val="Body Text Indent"/>
    <w:basedOn w:val="Normal"/>
    <w:pPr>
      <w:suppressAutoHyphens w:val="0"/>
      <w:spacing w:after="0" w:line="360" w:lineRule="auto"/>
      <w:ind w:firstLine="284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pPr>
      <w:autoSpaceDE w:val="0"/>
      <w:spacing w:after="0"/>
    </w:pPr>
    <w:rPr>
      <w:rFonts w:ascii="Times New Roman" w:hAnsi="Times New Roman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uppressAutoHyphens w:val="0"/>
    </w:pPr>
    <w:rPr>
      <w:kern w:val="0"/>
      <w:sz w:val="20"/>
      <w:szCs w:val="20"/>
      <w:lang w:val="es"/>
    </w:rPr>
  </w:style>
  <w:style w:type="character" w:customStyle="1" w:styleId="TextocomentarioCar">
    <w:name w:val="Texto comentario Car"/>
    <w:basedOn w:val="Fuentedeprrafopredeter"/>
    <w:rPr>
      <w:kern w:val="0"/>
      <w:sz w:val="20"/>
      <w:szCs w:val="20"/>
      <w:lang w:val="es"/>
    </w:rPr>
  </w:style>
  <w:style w:type="paragraph" w:customStyle="1" w:styleId="pf0">
    <w:name w:val="pf0"/>
    <w:basedOn w:val="Normal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character" w:customStyle="1" w:styleId="cf01">
    <w:name w:val="cf01"/>
    <w:basedOn w:val="Fuentedeprrafopredeter"/>
    <w:rPr>
      <w:rFonts w:ascii="Segoe UI" w:hAnsi="Segoe UI" w:cs="Segoe UI"/>
      <w:color w:val="4472C4"/>
      <w:sz w:val="18"/>
      <w:szCs w:val="18"/>
    </w:rPr>
  </w:style>
  <w:style w:type="character" w:customStyle="1" w:styleId="cf11">
    <w:name w:val="cf11"/>
    <w:basedOn w:val="Fuentedeprrafopredeter"/>
    <w:rPr>
      <w:rFonts w:ascii="Segoe UI" w:hAnsi="Segoe UI" w:cs="Segoe UI"/>
      <w:sz w:val="18"/>
      <w:szCs w:val="18"/>
    </w:rPr>
  </w:style>
  <w:style w:type="character" w:customStyle="1" w:styleId="cf21">
    <w:name w:val="cf21"/>
    <w:basedOn w:val="Fuentedeprrafopredeter"/>
    <w:rPr>
      <w:rFonts w:ascii="Segoe UI" w:hAnsi="Segoe UI" w:cs="Segoe UI"/>
      <w:b/>
      <w:bCs/>
      <w:color w:val="222222"/>
      <w:sz w:val="18"/>
      <w:szCs w:val="18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/>
      <w:b/>
      <w:bCs/>
      <w:kern w:val="0"/>
      <w:sz w:val="27"/>
      <w:szCs w:val="27"/>
      <w:lang w:eastAsia="es-ES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/>
      <w:b/>
      <w:bCs/>
      <w:kern w:val="0"/>
      <w:sz w:val="24"/>
      <w:szCs w:val="24"/>
      <w:lang w:eastAsia="es-ES"/>
    </w:rPr>
  </w:style>
  <w:style w:type="character" w:customStyle="1" w:styleId="jpfdse">
    <w:name w:val="jpfdse"/>
    <w:basedOn w:val="Fuentedeprrafopredeter"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styleId="nfasis">
    <w:name w:val="Emphasis"/>
    <w:basedOn w:val="Fuentedeprrafopredeter"/>
    <w:rPr>
      <w:i/>
      <w:iCs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customStyle="1" w:styleId="small-caps">
    <w:name w:val="small-caps"/>
    <w:rPr>
      <w:rFonts w:cs="Times New Roman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HeaderChar">
    <w:name w:val="Header Char"/>
    <w:basedOn w:val="Fuentedeprrafopredeter"/>
  </w:style>
  <w:style w:type="character" w:customStyle="1" w:styleId="FooterChar">
    <w:name w:val="Footer Char"/>
    <w:basedOn w:val="Fuentedeprrafopredeter"/>
  </w:style>
  <w:style w:type="paragraph" w:styleId="Revisin">
    <w:name w:val="Revision"/>
    <w:pPr>
      <w:spacing w:after="0"/>
      <w:textAlignment w:val="auto"/>
    </w:pPr>
  </w:style>
  <w:style w:type="character" w:customStyle="1" w:styleId="CommentReference">
    <w:name w:val="Comment Reference"/>
    <w:basedOn w:val="Fuentedeprrafopredeter"/>
    <w:rPr>
      <w:sz w:val="16"/>
      <w:szCs w:val="16"/>
    </w:rPr>
  </w:style>
  <w:style w:type="paragraph" w:customStyle="1" w:styleId="CommentText">
    <w:name w:val="Comment Text"/>
    <w:basedOn w:val="Normal"/>
    <w:rPr>
      <w:sz w:val="20"/>
      <w:szCs w:val="20"/>
    </w:rPr>
  </w:style>
  <w:style w:type="character" w:customStyle="1" w:styleId="CommentTextChar">
    <w:name w:val="Comment Text Char"/>
    <w:basedOn w:val="Fuentedeprrafopredeter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pPr>
      <w:suppressAutoHyphens/>
    </w:pPr>
    <w:rPr>
      <w:b/>
      <w:bCs/>
      <w:kern w:val="3"/>
      <w:lang w:val="es-ES"/>
    </w:rPr>
  </w:style>
  <w:style w:type="character" w:customStyle="1" w:styleId="TextocomentarioCar1">
    <w:name w:val="Texto comentario Car1"/>
    <w:basedOn w:val="Fuentedeprrafopredeter"/>
    <w:rPr>
      <w:kern w:val="0"/>
      <w:sz w:val="20"/>
      <w:szCs w:val="20"/>
      <w:lang w:val="es"/>
    </w:rPr>
  </w:style>
  <w:style w:type="character" w:customStyle="1" w:styleId="AsuntodelcomentarioCar">
    <w:name w:val="Asunto del comentario Car"/>
    <w:basedOn w:val="TextocomentarioCar1"/>
    <w:rPr>
      <w:b/>
      <w:bCs/>
      <w:kern w:val="0"/>
      <w:sz w:val="20"/>
      <w:szCs w:val="20"/>
      <w:lang w:val="es"/>
    </w:rPr>
  </w:style>
  <w:style w:type="paragraph" w:styleId="Bibliografa">
    <w:name w:val="Bibliography"/>
    <w:basedOn w:val="Normal"/>
    <w:next w:val="Normal"/>
    <w:pPr>
      <w:tabs>
        <w:tab w:val="left" w:pos="504"/>
      </w:tabs>
      <w:spacing w:after="0"/>
      <w:ind w:left="504" w:hanging="504"/>
    </w:pPr>
  </w:style>
  <w:style w:type="paragraph" w:customStyle="1" w:styleId="MDPI42tablebody">
    <w:name w:val="MDPI_4.2_table_body"/>
    <w:pPr>
      <w:snapToGrid w:val="0"/>
      <w:spacing w:after="0" w:line="260" w:lineRule="atLeast"/>
      <w:jc w:val="center"/>
      <w:textAlignment w:val="auto"/>
    </w:pPr>
    <w:rPr>
      <w:rFonts w:ascii="Palatino Linotype" w:eastAsia="Times New Roman" w:hAnsi="Palatino Linotype"/>
      <w:color w:val="000000"/>
      <w:kern w:val="0"/>
      <w:sz w:val="20"/>
      <w:szCs w:val="20"/>
      <w:lang w:val="en-US" w:eastAsia="de-DE" w:bidi="en-US"/>
    </w:rPr>
  </w:style>
  <w:style w:type="paragraph" w:styleId="Ttulo">
    <w:name w:val="Title"/>
    <w:basedOn w:val="Normal"/>
    <w:next w:val="Normal"/>
    <w:uiPriority w:val="10"/>
    <w:qFormat/>
    <w:pPr>
      <w:spacing w:after="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MDPI12title">
    <w:name w:val="MDPI_1.2_title"/>
    <w:next w:val="Normal"/>
    <w:pPr>
      <w:snapToGrid w:val="0"/>
      <w:spacing w:after="240" w:line="240" w:lineRule="atLeast"/>
      <w:textAlignment w:val="auto"/>
    </w:pPr>
    <w:rPr>
      <w:rFonts w:ascii="Palatino Linotype" w:eastAsia="Times New Roman" w:hAnsi="Palatino Linotype"/>
      <w:b/>
      <w:color w:val="000000"/>
      <w:kern w:val="0"/>
      <w:sz w:val="36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del Carmen Gallardo Alpízar</dc:creator>
  <dc:description/>
  <cp:lastModifiedBy>Nilda del Carmen Gallardo Alpízar</cp:lastModifiedBy>
  <cp:revision>3</cp:revision>
  <dcterms:created xsi:type="dcterms:W3CDTF">2024-06-21T19:20:00Z</dcterms:created>
  <dcterms:modified xsi:type="dcterms:W3CDTF">2024-06-22T09:35:00Z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id="gVkgKmIN"/&gt;&lt;style id="http://www.zotero.org/styles/american-chemical-society" hasBibliography="1" bibliographyStyleHasBeenSet="1"/&gt;&lt;prefs&gt;&lt;pref name="fieldType" value="Field"/&gt;&lt;/prefs&gt;&lt;/data&gt;</vt:lpwstr>
  </property>
</Properties>
</file>